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A114">
      <w:pPr>
        <w:jc w:val="left"/>
        <w:rPr>
          <w:rFonts w:ascii="黑体" w:hAnsi="黑体" w:eastAsia="黑体" w:cs="Times New Roman"/>
          <w:b/>
          <w:color w:val="auto"/>
          <w:sz w:val="32"/>
          <w:szCs w:val="32"/>
          <w:highlight w:val="none"/>
        </w:rPr>
      </w:pPr>
      <w:r>
        <w:rPr>
          <w:rFonts w:hint="eastAsia" w:ascii="黑体" w:hAnsi="黑体" w:eastAsia="黑体" w:cs="Times New Roman"/>
          <w:b/>
          <w:color w:val="auto"/>
          <w:sz w:val="32"/>
          <w:szCs w:val="32"/>
          <w:highlight w:val="none"/>
        </w:rPr>
        <w:t xml:space="preserve">附件1 </w:t>
      </w:r>
    </w:p>
    <w:p w14:paraId="3C26C006">
      <w:pPr>
        <w:spacing w:line="480" w:lineRule="auto"/>
        <w:ind w:right="28"/>
        <w:rPr>
          <w:rFonts w:ascii="宋体" w:hAnsi="宋体" w:eastAsia="宋体" w:cs="宋体"/>
          <w:color w:val="auto"/>
          <w:sz w:val="44"/>
          <w:szCs w:val="44"/>
          <w:highlight w:val="none"/>
        </w:rPr>
      </w:pPr>
    </w:p>
    <w:p w14:paraId="11EF0A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b/>
          <w:color w:val="auto"/>
          <w:sz w:val="44"/>
          <w:szCs w:val="44"/>
          <w:highlight w:val="none"/>
        </w:rPr>
      </w:pPr>
      <w:r>
        <w:rPr>
          <w:rFonts w:hint="eastAsia" w:ascii="方正大标宋简体" w:hAnsi="方正大标宋简体" w:eastAsia="方正大标宋简体" w:cs="方正大标宋简体"/>
          <w:b/>
          <w:color w:val="auto"/>
          <w:sz w:val="44"/>
          <w:szCs w:val="44"/>
          <w:highlight w:val="none"/>
        </w:rPr>
        <w:t>上海市高等学历继续教育课程“课程思政”</w:t>
      </w:r>
    </w:p>
    <w:p w14:paraId="142346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b/>
          <w:color w:val="auto"/>
          <w:sz w:val="44"/>
          <w:szCs w:val="44"/>
          <w:highlight w:val="none"/>
        </w:rPr>
      </w:pPr>
      <w:r>
        <w:rPr>
          <w:rFonts w:hint="eastAsia" w:ascii="方正大标宋简体" w:hAnsi="方正大标宋简体" w:eastAsia="方正大标宋简体" w:cs="方正大标宋简体"/>
          <w:b/>
          <w:color w:val="auto"/>
          <w:sz w:val="44"/>
          <w:szCs w:val="44"/>
          <w:highlight w:val="none"/>
        </w:rPr>
        <w:t>优秀项目评选方案</w:t>
      </w:r>
    </w:p>
    <w:p w14:paraId="65885F63">
      <w:pPr>
        <w:jc w:val="center"/>
        <w:rPr>
          <w:rFonts w:ascii="宋体" w:hAnsi="宋体" w:eastAsia="宋体" w:cs="Times New Roman"/>
          <w:b/>
          <w:color w:val="auto"/>
          <w:sz w:val="44"/>
          <w:szCs w:val="44"/>
          <w:highlight w:val="none"/>
        </w:rPr>
      </w:pPr>
    </w:p>
    <w:p w14:paraId="2B7B83CB">
      <w:pPr>
        <w:spacing w:line="52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一、评选范围</w:t>
      </w:r>
    </w:p>
    <w:p w14:paraId="1583D773">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已纳入高校高等学历继续人才培养方案，并至少经过</w:t>
      </w:r>
      <w:r>
        <w:rPr>
          <w:rFonts w:hint="eastAsia" w:ascii="仿宋" w:hAnsi="仿宋" w:eastAsia="仿宋" w:cs="仿宋"/>
          <w:b/>
          <w:bCs/>
          <w:color w:val="auto"/>
          <w:sz w:val="32"/>
          <w:szCs w:val="32"/>
          <w:highlight w:val="none"/>
        </w:rPr>
        <w:t>一个学期或一个教学周期</w:t>
      </w:r>
      <w:r>
        <w:rPr>
          <w:rFonts w:hint="eastAsia" w:ascii="仿宋" w:hAnsi="仿宋" w:eastAsia="仿宋" w:cs="仿宋"/>
          <w:color w:val="auto"/>
          <w:sz w:val="32"/>
          <w:szCs w:val="32"/>
          <w:highlight w:val="none"/>
        </w:rPr>
        <w:t>的建设和完善的课程。</w:t>
      </w:r>
    </w:p>
    <w:p w14:paraId="181655D6">
      <w:pPr>
        <w:spacing w:line="52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二、参评条件</w:t>
      </w:r>
    </w:p>
    <w:p w14:paraId="1979F06A">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课程准确把握“坚定学生理想信念，教育学生爱党、爱国、爱社会主义、爱人民、爱集体”主线，结合所在学科专业、所属课程类型的育人要求和特点，深入挖掘蕴含的思政教育资源，优化课程思政内容供给。</w:t>
      </w:r>
    </w:p>
    <w:p w14:paraId="7EB5BE30">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（二）课程注重体现学校办学定位和专业特色，注重价值塑造、知识传授与能力培养相统一，科学设计课程目标和教案课件，将思政教育有机融入课程教学，达到润物无声的育人效果。</w:t>
      </w:r>
    </w:p>
    <w:p w14:paraId="73A1A4EC">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（三）课程注重课程思政建设模式创新，教学内容体现思想性、前沿性与时代性，教学方法体现先进性、互动性与针对性，形成可供同类课程借鉴共享的经验、成果和模式。</w:t>
      </w:r>
    </w:p>
    <w:p w14:paraId="5A8A970B">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课程可由一名教师讲授，也可由教学团队共同讲授。课程授课教师政治立场坚定，师德师风良好。课程负责人具有高级职称，能够准确把握本课程开展课程思政建设的方向和重点，并融入课程教学全过程。课程教学团队人员结构合理，任务分工明确，集体教研制度完善且有效实施，经常性开展课程思政建设教学研究和交流，课程思政建设整体水平高。</w:t>
      </w:r>
    </w:p>
    <w:p w14:paraId="4DE7CEC0">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（五）课程考核方式和评价办法完善，育人效果显著，学生评教结果优秀，校内外同行专家评价良好，形成较高水平的课程思政展示成果，具有良好的示范辐射作用。</w:t>
      </w:r>
    </w:p>
    <w:p w14:paraId="14E05933">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（六）继续教育课程要充分考虑成人在职学习的特点，注重发挥信息技术优势，面向终身学习，培养学习者立足岗位的创新意识与责任担当。</w:t>
      </w:r>
    </w:p>
    <w:p w14:paraId="0CF0EB2E">
      <w:pPr>
        <w:spacing w:line="52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三、评选工作流程</w:t>
      </w:r>
    </w:p>
    <w:p w14:paraId="594EB87C">
      <w:pPr>
        <w:spacing w:line="520" w:lineRule="exact"/>
        <w:ind w:firstLine="42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高等学历继续教育“课程思政”优秀项目评选工作，分为高校推荐和专家评审两个阶段。</w:t>
      </w:r>
    </w:p>
    <w:p w14:paraId="40460955">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高校推荐。上海市各高校推荐本校高等学历继续教育优秀教材，并按时报送推荐名单及材料。材料包括《上海市高等学历继续教育“课程思政”优秀项目申报书》、《上海市高等学历继续教育“课程思政”优秀项目申报汇总表》和相关材料（各一式两份）。推荐材料应完整、真实、规范。</w:t>
      </w:r>
    </w:p>
    <w:p w14:paraId="2439CE93">
      <w:pPr>
        <w:spacing w:line="520" w:lineRule="exact"/>
        <w:ind w:firstLine="42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（二）专家评审。评估协会高校继续教育专委会组织专家对高校推荐高等学历继续教育“课程思政”优秀项目进行评审。</w:t>
      </w:r>
    </w:p>
    <w:p w14:paraId="281982C5">
      <w:pPr>
        <w:spacing w:line="52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四、评选指标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626"/>
        <w:gridCol w:w="4412"/>
        <w:gridCol w:w="814"/>
      </w:tblGrid>
      <w:tr w14:paraId="0842B68E">
        <w:trPr>
          <w:trHeight w:val="328" w:hRule="atLeast"/>
          <w:tblHeader/>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F4611E">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一级指标</w:t>
            </w:r>
          </w:p>
        </w:tc>
        <w:tc>
          <w:tcPr>
            <w:tcW w:w="1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41E6DA">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二级指标</w:t>
            </w:r>
          </w:p>
        </w:tc>
        <w:tc>
          <w:tcPr>
            <w:tcW w:w="44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F5AC13">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评价标准</w:t>
            </w:r>
          </w:p>
        </w:tc>
        <w:tc>
          <w:tcPr>
            <w:tcW w:w="81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8294CD">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分值</w:t>
            </w:r>
          </w:p>
        </w:tc>
      </w:tr>
      <w:tr w14:paraId="7BDEF022">
        <w:trPr>
          <w:trHeight w:val="321"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7391DD">
            <w:pPr>
              <w:spacing w:beforeLines="0" w:afterLines="0"/>
              <w:jc w:val="center"/>
              <w:rPr>
                <w:rFonts w:hint="eastAsia" w:ascii="仿宋" w:hAnsi="仿宋" w:eastAsia="仿宋" w:cs="仿宋"/>
                <w:color w:val="auto"/>
                <w:sz w:val="21"/>
                <w:szCs w:val="24"/>
              </w:rPr>
            </w:pPr>
          </w:p>
        </w:tc>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E5B1F0">
            <w:pPr>
              <w:spacing w:beforeLines="0" w:afterLines="0"/>
              <w:jc w:val="center"/>
              <w:rPr>
                <w:rFonts w:hint="eastAsia" w:ascii="仿宋" w:hAnsi="仿宋" w:eastAsia="仿宋" w:cs="仿宋"/>
                <w:color w:val="auto"/>
                <w:sz w:val="21"/>
                <w:szCs w:val="24"/>
              </w:rPr>
            </w:pPr>
          </w:p>
        </w:tc>
        <w:tc>
          <w:tcPr>
            <w:tcW w:w="44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2011E2">
            <w:pPr>
              <w:spacing w:beforeLines="0" w:afterLines="0"/>
              <w:jc w:val="center"/>
              <w:rPr>
                <w:rFonts w:hint="eastAsia" w:ascii="仿宋" w:hAnsi="仿宋" w:eastAsia="仿宋" w:cs="仿宋"/>
                <w:b/>
                <w:color w:val="auto"/>
                <w:sz w:val="21"/>
                <w:szCs w:val="24"/>
              </w:rPr>
            </w:pPr>
          </w:p>
        </w:tc>
        <w:tc>
          <w:tcPr>
            <w:tcW w:w="8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11FFFF">
            <w:pPr>
              <w:spacing w:beforeLines="0" w:afterLines="0"/>
              <w:jc w:val="center"/>
              <w:rPr>
                <w:rFonts w:hint="eastAsia" w:ascii="仿宋" w:hAnsi="仿宋" w:eastAsia="仿宋" w:cs="仿宋"/>
                <w:b/>
                <w:color w:val="auto"/>
                <w:sz w:val="21"/>
                <w:szCs w:val="24"/>
              </w:rPr>
            </w:pPr>
          </w:p>
        </w:tc>
      </w:tr>
      <w:tr w14:paraId="56BA5B13">
        <w:trPr>
          <w:trHeight w:val="390"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DECC0D">
            <w:pPr>
              <w:spacing w:beforeLines="0" w:afterLines="0"/>
              <w:jc w:val="center"/>
              <w:rPr>
                <w:rFonts w:hint="eastAsia" w:ascii="仿宋" w:hAnsi="仿宋" w:eastAsia="仿宋" w:cs="仿宋"/>
                <w:color w:val="auto"/>
                <w:sz w:val="21"/>
                <w:szCs w:val="24"/>
              </w:rPr>
            </w:pPr>
          </w:p>
        </w:tc>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40F9CD">
            <w:pPr>
              <w:spacing w:beforeLines="0" w:afterLines="0"/>
              <w:jc w:val="center"/>
              <w:rPr>
                <w:rFonts w:hint="eastAsia" w:ascii="仿宋" w:hAnsi="仿宋" w:eastAsia="仿宋" w:cs="仿宋"/>
                <w:color w:val="auto"/>
                <w:sz w:val="21"/>
                <w:szCs w:val="24"/>
              </w:rPr>
            </w:pPr>
          </w:p>
        </w:tc>
        <w:tc>
          <w:tcPr>
            <w:tcW w:w="44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78E4F6">
            <w:pPr>
              <w:spacing w:beforeLines="0" w:afterLines="0"/>
              <w:jc w:val="center"/>
              <w:rPr>
                <w:rFonts w:hint="eastAsia" w:ascii="仿宋" w:hAnsi="仿宋" w:eastAsia="仿宋" w:cs="仿宋"/>
                <w:b/>
                <w:color w:val="auto"/>
                <w:sz w:val="21"/>
                <w:szCs w:val="24"/>
              </w:rPr>
            </w:pPr>
          </w:p>
        </w:tc>
        <w:tc>
          <w:tcPr>
            <w:tcW w:w="8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2492C2">
            <w:pPr>
              <w:spacing w:beforeLines="0" w:afterLines="0"/>
              <w:jc w:val="center"/>
              <w:rPr>
                <w:rFonts w:hint="eastAsia" w:ascii="仿宋" w:hAnsi="仿宋" w:eastAsia="仿宋" w:cs="仿宋"/>
                <w:b/>
                <w:color w:val="auto"/>
                <w:sz w:val="21"/>
                <w:szCs w:val="24"/>
              </w:rPr>
            </w:pPr>
          </w:p>
        </w:tc>
      </w:tr>
      <w:tr w14:paraId="0E5234DC">
        <w:trPr>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C31510">
            <w:pPr>
              <w:spacing w:beforeLines="0" w:afterLines="0"/>
              <w:jc w:val="center"/>
              <w:rPr>
                <w:rFonts w:hint="eastAsia" w:ascii="仿宋" w:hAnsi="仿宋" w:eastAsia="仿宋" w:cs="仿宋"/>
                <w:color w:val="auto"/>
                <w:sz w:val="21"/>
                <w:szCs w:val="24"/>
              </w:rPr>
            </w:pPr>
            <w:r>
              <w:rPr>
                <w:rFonts w:hint="eastAsia" w:ascii="仿宋" w:hAnsi="仿宋" w:eastAsia="仿宋" w:cs="仿宋"/>
                <w:b/>
                <w:color w:val="auto"/>
                <w:sz w:val="21"/>
                <w:szCs w:val="24"/>
              </w:rPr>
              <w:t>1.课程团队(20分)</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BF95D">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1.1课程负责人</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top"/>
          </w:tcPr>
          <w:p w14:paraId="05A0A01D">
            <w:pPr>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具备良好的师德师风，政治立场坚定，坚持以习近平新时代中国特色社会主义思想为指导，忠诚人民教育事业，坚持以德立身、以德立学、以德施教、以德育德，为人师表，师德高尚。善于提炼课程中蕴含的育人因素，教学经验丰富、教学成果突出。</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6497A">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1A89A648">
        <w:trPr>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D28733">
            <w:pPr>
              <w:spacing w:beforeLines="0" w:afterLines="0"/>
              <w:rPr>
                <w:rFonts w:hint="eastAsia" w:ascii="仿宋" w:hAnsi="仿宋" w:eastAsia="仿宋" w:cs="仿宋"/>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0311C">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1.2教学团队</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top"/>
          </w:tcPr>
          <w:p w14:paraId="50CE4823">
            <w:pPr>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教学团队结构合理，均承担了实质教学任务。团队成员具备课程思政意识和能力，积极参与课程思政教学改革，建立课程思政集体备课和教研制度，探索课程思政建设新路径。</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B5917">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48561963">
        <w:trPr>
          <w:trHeight w:val="1334"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CB0CF4">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2.教学内容(30分)</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AEC25">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2.1课程目标</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71DF3">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课程目标能根据课程性质、特点及授课对象等，制定明确的课程思政教学目标，价值引领目标符合高等学历继续教育人才培养要求，特色鲜明。</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4A3FC">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0A84D2BE">
        <w:trPr>
          <w:trHeight w:val="1616"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FA1FC7">
            <w:pPr>
              <w:spacing w:beforeLines="0" w:afterLines="0"/>
              <w:jc w:val="center"/>
              <w:rPr>
                <w:rFonts w:hint="eastAsia" w:ascii="仿宋" w:hAnsi="仿宋" w:eastAsia="仿宋" w:cs="仿宋"/>
                <w:b/>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6403F">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2.2课程设计</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B1A37">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能根据授课目标、教材内容等教学要素，充分考虑成人在职学习的特点，找准课程思政切入点；在课堂讲授、教学研讨、实验实训、考核评价等各环节能有机融入课程思政的理念和元素，做到恰当合理、不生硬。</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45A91">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4D2F76CB">
        <w:trPr>
          <w:trHeight w:val="549"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20AC71">
            <w:pPr>
              <w:spacing w:beforeLines="0" w:afterLines="0"/>
              <w:jc w:val="center"/>
              <w:rPr>
                <w:rFonts w:hint="eastAsia" w:ascii="仿宋" w:hAnsi="仿宋" w:eastAsia="仿宋" w:cs="仿宋"/>
                <w:b/>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B9C5F">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2.4课程资源</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7378F">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注重挖掘和开拓与本课程紧密相关的课程思政资源，形成丰富的课程思政资源库；能从最新国家时政要点、社会时事热点等内容中精选与专业教学相关的教育素材；编写和选用高质量配套教材。</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D30B6">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402A7483">
        <w:trPr>
          <w:trHeight w:val="1157"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41FA07">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3.教学改革(30分)</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2A48C">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3.1教学方法</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A720A">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注重课程思政教学方法多样化，采取启发式、研究性、案例式、PBL 等教学方法帮助学生树立正确的世界观、人生观和价值观。</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0A71F">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53F37001">
        <w:trPr>
          <w:trHeight w:val="1016"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61374E">
            <w:pPr>
              <w:spacing w:beforeLines="0" w:afterLines="0"/>
              <w:jc w:val="center"/>
              <w:rPr>
                <w:rFonts w:hint="eastAsia" w:ascii="仿宋" w:hAnsi="仿宋" w:eastAsia="仿宋" w:cs="仿宋"/>
                <w:b/>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7ED04">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3.2教学手段</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3996B">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推动课程思政与现代教育技术深度融合，创新思政元素展现形式，增强课程思政的亲和力和针对性。</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4C3A2">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10F3B61E">
        <w:trPr>
          <w:trHeight w:val="825"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469383">
            <w:pPr>
              <w:spacing w:beforeLines="0" w:afterLines="0"/>
              <w:jc w:val="center"/>
              <w:rPr>
                <w:rFonts w:hint="eastAsia" w:ascii="仿宋" w:hAnsi="仿宋" w:eastAsia="仿宋" w:cs="仿宋"/>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A640A">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3.3课程考核</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DD2C5">
            <w:pPr>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课程思政元素充分融入过程考核和最终考核所涵盖的知识、能力与素质中。</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19336">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289D654D">
        <w:trPr>
          <w:trHeight w:val="1380"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0EFEE">
            <w:pPr>
              <w:spacing w:beforeLines="0" w:afterLines="0"/>
              <w:jc w:val="center"/>
              <w:rPr>
                <w:rFonts w:hint="eastAsia" w:ascii="仿宋" w:hAnsi="仿宋" w:eastAsia="仿宋" w:cs="仿宋"/>
                <w:b/>
                <w:color w:val="auto"/>
                <w:sz w:val="21"/>
                <w:szCs w:val="24"/>
              </w:rPr>
            </w:pPr>
            <w:r>
              <w:rPr>
                <w:rFonts w:hint="eastAsia" w:ascii="仿宋" w:hAnsi="仿宋" w:eastAsia="仿宋" w:cs="仿宋"/>
                <w:b/>
                <w:color w:val="auto"/>
                <w:sz w:val="21"/>
                <w:szCs w:val="24"/>
              </w:rPr>
              <w:t>4.教学成效（20分）</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9EDA6">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4.1 督导、同行、学生评价</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F1206">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 xml:space="preserve">督导评价优秀，同行认可度高，学生对教师师德师风评价高，学习满意度高，评教效果好。 </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F4A18">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r w14:paraId="32C81647">
        <w:trPr>
          <w:trHeight w:val="1380"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57A7F4">
            <w:pPr>
              <w:spacing w:beforeLines="0" w:afterLines="0"/>
              <w:jc w:val="center"/>
              <w:rPr>
                <w:rFonts w:hint="eastAsia" w:ascii="仿宋" w:hAnsi="仿宋" w:eastAsia="仿宋" w:cs="仿宋"/>
                <w:b/>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487AE">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4.2示范作用</w:t>
            </w:r>
          </w:p>
        </w:tc>
        <w:tc>
          <w:tcPr>
            <w:tcW w:w="44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561F7">
            <w:pPr>
              <w:snapToGrid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课程思政教学理念、方法、手段及实施效果显著，具有一定的辐射和推广价值。</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5870D">
            <w:pPr>
              <w:spacing w:beforeLines="0" w:afterLines="0"/>
              <w:jc w:val="center"/>
              <w:rPr>
                <w:rFonts w:hint="eastAsia" w:ascii="仿宋" w:hAnsi="仿宋" w:eastAsia="仿宋" w:cs="仿宋"/>
                <w:color w:val="auto"/>
                <w:sz w:val="21"/>
                <w:szCs w:val="24"/>
              </w:rPr>
            </w:pPr>
            <w:r>
              <w:rPr>
                <w:rFonts w:hint="eastAsia" w:ascii="仿宋" w:hAnsi="仿宋" w:eastAsia="仿宋" w:cs="仿宋"/>
                <w:color w:val="auto"/>
                <w:sz w:val="21"/>
                <w:szCs w:val="24"/>
              </w:rPr>
              <w:t>10分</w:t>
            </w:r>
          </w:p>
        </w:tc>
      </w:tr>
    </w:tbl>
    <w:p w14:paraId="1A8B149D">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auto"/>
    <w:pitch w:val="default"/>
    <w:sig w:usb0="00000000" w:usb1="00000000" w:usb2="00000009" w:usb3="00000000" w:csb0="200001F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大标宋简体">
    <w:altName w:val="汉仪书宋二KW"/>
    <w:panose1 w:val="03000509000000000000"/>
    <w:charset w:val="86"/>
    <w:family w:val="auto"/>
    <w:pitch w:val="default"/>
    <w:sig w:usb0="00000000" w:usb1="00000000" w:usb2="00000000" w:usb3="00000000" w:csb0="00040000" w:csb1="00000000"/>
  </w:font>
  <w:font w:name="方正小标宋简体">
    <w:altName w:val="汉仪书宋二KW"/>
    <w:panose1 w:val="0201060001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65E9">
    <w:pPr>
      <w:pStyle w:val="3"/>
      <w:jc w:val="center"/>
      <w:rPr>
        <w:rFonts w:eastAsia="宋体" w:cs="Times New Roman"/>
      </w:rPr>
    </w:pPr>
  </w:p>
  <w:p w14:paraId="08C096ED">
    <w:pPr>
      <w:pStyle w:val="3"/>
      <w:rPr>
        <w:rFonts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B2E3D"/>
    <w:rsid w:val="030C4A4A"/>
    <w:rsid w:val="3D4B2E3D"/>
    <w:rsid w:val="52E80913"/>
    <w:rsid w:val="5C5A2918"/>
    <w:rsid w:val="5F7A15C5"/>
    <w:rsid w:val="79F502D6"/>
    <w:rsid w:val="7A4A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widowControl w:val="0"/>
      <w:spacing w:line="240" w:lineRule="auto"/>
      <w:jc w:val="both"/>
      <w:outlineLvl w:val="1"/>
    </w:pPr>
    <w:rPr>
      <w:rFonts w:ascii="Calibri Light" w:hAnsi="Calibri Light" w:eastAsia="仿宋" w:cs="仿宋_GB2312"/>
      <w:b/>
      <w:bCs/>
      <w:sz w:val="24"/>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5">
    <w:name w:val="Body Text Indent 3"/>
    <w:qFormat/>
    <w:uiPriority w:val="0"/>
    <w:pPr>
      <w:widowControl w:val="0"/>
      <w:spacing w:after="120"/>
      <w:ind w:left="420" w:leftChars="200"/>
      <w:jc w:val="both"/>
    </w:pPr>
    <w:rPr>
      <w:rFonts w:ascii="Calibri" w:hAnsi="Calibri" w:eastAsia="宋体" w:cs="Times New Roman"/>
      <w:kern w:val="2"/>
      <w:sz w:val="16"/>
      <w:szCs w:val="16"/>
      <w:lang w:val="en-US" w:eastAsia="zh-CN" w:bidi="ar-SA"/>
    </w:rPr>
  </w:style>
  <w:style w:type="table" w:styleId="7">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2025-10-28T01:03:00Z</dcterms:created>
  <dc:creator>豆腐君</dc:creator>
  <cp:lastModifiedBy>☔️</cp:lastModifiedBy>
  <dcterms:modified xsi:type="dcterms:W3CDTF">2025-10-27T19:57:28Z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E7C58075E6006FD2965DFF68AB78B0AA_43</vt:lpwstr>
  </property>
  <property fmtid="{D5CDD505-2E9C-101B-9397-08002B2CF9AE}" pid="4" name="KSOTemplateDocerSaveRecord">
    <vt:lpwstr>eyJoZGlkIjoiMzEwNTM5NzYwMDRjMzkwZTVkZjY2ODkwMGIxNGU0OTUiLCJ1c2VySWQiOiIyMTUzMjQyMjgifQ==</vt:lpwstr>
  </property>
</Properties>
</file>