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D791" w14:textId="77777777" w:rsidR="00EB79A8" w:rsidRDefault="00567EB6">
      <w:pPr>
        <w:spacing w:line="480" w:lineRule="auto"/>
        <w:ind w:right="28"/>
        <w:rPr>
          <w:rFonts w:ascii="黑体" w:eastAsia="黑体" w:hAnsi="黑体" w:cs="Times New Roman"/>
          <w:b/>
          <w:sz w:val="32"/>
          <w:szCs w:val="32"/>
        </w:rPr>
      </w:pPr>
      <w:r>
        <w:rPr>
          <w:rFonts w:ascii="黑体" w:eastAsia="黑体" w:hAnsi="黑体" w:cs="Times New Roman" w:hint="eastAsia"/>
          <w:b/>
          <w:sz w:val="32"/>
          <w:szCs w:val="32"/>
        </w:rPr>
        <w:t>附件</w:t>
      </w:r>
      <w:r>
        <w:rPr>
          <w:rFonts w:ascii="黑体" w:eastAsia="黑体" w:hAnsi="黑体" w:cs="Times New Roman" w:hint="eastAsia"/>
          <w:b/>
          <w:sz w:val="32"/>
          <w:szCs w:val="32"/>
        </w:rPr>
        <w:t xml:space="preserve">1 </w:t>
      </w:r>
    </w:p>
    <w:p w14:paraId="49A7ABEB" w14:textId="77777777" w:rsidR="00EB79A8" w:rsidRDefault="00EB79A8">
      <w:pPr>
        <w:spacing w:line="480" w:lineRule="auto"/>
        <w:ind w:right="28"/>
        <w:rPr>
          <w:rFonts w:ascii="黑体" w:eastAsia="黑体" w:hAnsi="黑体" w:cs="Times New Roman"/>
          <w:b/>
          <w:sz w:val="32"/>
          <w:szCs w:val="32"/>
        </w:rPr>
      </w:pPr>
    </w:p>
    <w:p w14:paraId="407B32D5" w14:textId="77777777" w:rsidR="00EB79A8" w:rsidRDefault="00567EB6">
      <w:pPr>
        <w:spacing w:line="480" w:lineRule="auto"/>
        <w:ind w:right="28"/>
        <w:jc w:val="center"/>
        <w:rPr>
          <w:rFonts w:ascii="宋体" w:hAnsi="宋体"/>
          <w:b/>
          <w:bCs/>
          <w:sz w:val="44"/>
          <w:szCs w:val="44"/>
        </w:rPr>
      </w:pPr>
      <w:r>
        <w:rPr>
          <w:rFonts w:ascii="宋体" w:hAnsi="宋体" w:hint="eastAsia"/>
          <w:b/>
          <w:bCs/>
          <w:sz w:val="44"/>
          <w:szCs w:val="44"/>
        </w:rPr>
        <w:t>上海市高等学历继续教育优秀在线课程</w:t>
      </w:r>
    </w:p>
    <w:p w14:paraId="5159F4C3" w14:textId="77777777" w:rsidR="00EB79A8" w:rsidRDefault="00567EB6">
      <w:pPr>
        <w:spacing w:line="480" w:lineRule="auto"/>
        <w:ind w:right="28"/>
        <w:jc w:val="center"/>
        <w:rPr>
          <w:rFonts w:ascii="宋体" w:hAnsi="宋体"/>
          <w:b/>
          <w:bCs/>
          <w:sz w:val="44"/>
          <w:szCs w:val="44"/>
        </w:rPr>
      </w:pPr>
      <w:r>
        <w:rPr>
          <w:rFonts w:ascii="宋体" w:hAnsi="宋体" w:hint="eastAsia"/>
          <w:b/>
          <w:bCs/>
          <w:sz w:val="44"/>
          <w:szCs w:val="44"/>
        </w:rPr>
        <w:t>评选方案</w:t>
      </w:r>
    </w:p>
    <w:p w14:paraId="030FBF73" w14:textId="77777777" w:rsidR="00EB79A8" w:rsidRDefault="00EB79A8">
      <w:pPr>
        <w:spacing w:line="520" w:lineRule="exact"/>
        <w:ind w:firstLine="420"/>
        <w:rPr>
          <w:rFonts w:ascii="仿宋_GB2312" w:eastAsia="仿宋_GB2312" w:hAnsi="Times New Roman" w:cs="Times New Roman"/>
          <w:sz w:val="28"/>
          <w:szCs w:val="28"/>
        </w:rPr>
      </w:pPr>
    </w:p>
    <w:p w14:paraId="0E3053C1" w14:textId="77777777" w:rsidR="00EB79A8" w:rsidRDefault="00567EB6">
      <w:pPr>
        <w:spacing w:line="520" w:lineRule="exact"/>
        <w:ind w:firstLine="420"/>
        <w:rPr>
          <w:rFonts w:ascii="仿宋" w:eastAsia="仿宋" w:hAnsi="仿宋" w:cs="仿宋"/>
          <w:b/>
          <w:bCs/>
          <w:sz w:val="32"/>
          <w:szCs w:val="32"/>
        </w:rPr>
      </w:pPr>
      <w:r>
        <w:rPr>
          <w:rFonts w:ascii="仿宋" w:eastAsia="仿宋" w:hAnsi="仿宋" w:cs="仿宋" w:hint="eastAsia"/>
          <w:b/>
          <w:bCs/>
          <w:sz w:val="32"/>
          <w:szCs w:val="32"/>
        </w:rPr>
        <w:t>一、评选范围</w:t>
      </w:r>
    </w:p>
    <w:p w14:paraId="6F09D6B3" w14:textId="77777777" w:rsidR="00EB79A8" w:rsidRDefault="00567EB6">
      <w:pPr>
        <w:ind w:firstLineChars="200" w:firstLine="640"/>
        <w:jc w:val="left"/>
        <w:rPr>
          <w:rFonts w:ascii="仿宋" w:eastAsia="仿宋" w:hAnsi="仿宋" w:cs="仿宋"/>
          <w:sz w:val="32"/>
          <w:szCs w:val="32"/>
        </w:rPr>
      </w:pPr>
      <w:r>
        <w:rPr>
          <w:rFonts w:ascii="仿宋" w:eastAsia="仿宋" w:hAnsi="仿宋" w:cs="仿宋" w:hint="eastAsia"/>
          <w:sz w:val="32"/>
          <w:szCs w:val="32"/>
        </w:rPr>
        <w:t>至少完成一个教学周期（以学校教学日历为准）的高等学历继续教育本专科层次的在线课程（含混合式教学课程）。申报课程第一期上线开课时间不得晚于</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
    <w:p w14:paraId="677E7BB9" w14:textId="77777777" w:rsidR="00EB79A8" w:rsidRDefault="00567EB6">
      <w:pPr>
        <w:ind w:firstLine="420"/>
        <w:jc w:val="left"/>
        <w:rPr>
          <w:rFonts w:ascii="仿宋" w:eastAsia="仿宋" w:hAnsi="仿宋" w:cs="仿宋"/>
          <w:b/>
          <w:bCs/>
          <w:sz w:val="32"/>
          <w:szCs w:val="32"/>
        </w:rPr>
      </w:pPr>
      <w:r>
        <w:rPr>
          <w:rFonts w:ascii="仿宋" w:eastAsia="仿宋" w:hAnsi="仿宋" w:cs="仿宋" w:hint="eastAsia"/>
          <w:b/>
          <w:bCs/>
          <w:sz w:val="32"/>
          <w:szCs w:val="32"/>
        </w:rPr>
        <w:t>二、课程要求</w:t>
      </w:r>
    </w:p>
    <w:p w14:paraId="7A5D5B38"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申报课程</w:t>
      </w:r>
      <w:proofErr w:type="gramStart"/>
      <w:r>
        <w:rPr>
          <w:rFonts w:ascii="仿宋" w:eastAsia="仿宋" w:hAnsi="仿宋" w:cs="仿宋" w:hint="eastAsia"/>
          <w:sz w:val="32"/>
          <w:szCs w:val="32"/>
        </w:rPr>
        <w:t>须思想</w:t>
      </w:r>
      <w:proofErr w:type="gramEnd"/>
      <w:r>
        <w:rPr>
          <w:rFonts w:ascii="仿宋" w:eastAsia="仿宋" w:hAnsi="仿宋" w:cs="仿宋" w:hint="eastAsia"/>
          <w:sz w:val="32"/>
          <w:szCs w:val="32"/>
        </w:rPr>
        <w:t>导向正确、科学性强，突出以学生为中心的教学设计，课程知识体系科学，资源配置全面合理，适合在线学习和混合式教学。各项教学活动完整、有效，在本校教学过程中能较好地应用，教学方法先进，教学质量高。课程负责人须为申报高校聘用的教师，具有高等学历继续教育教学经验。</w:t>
      </w:r>
    </w:p>
    <w:p w14:paraId="6A816C93"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（一）课程团队</w:t>
      </w:r>
    </w:p>
    <w:p w14:paraId="022F3FB6"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课程负责人须为申报高校聘用的教师，具有丰富的高等学历继续教育教学经验和较高学术造诣。主讲教师师德师风良好，教学能力强，积极投身信息技术与教育教学深度融合的教学改革。课程团队结构合理、人员稳定，除课程负责人和主讲教师</w:t>
      </w:r>
      <w:r>
        <w:rPr>
          <w:rFonts w:ascii="仿宋" w:eastAsia="仿宋" w:hAnsi="仿宋" w:cs="仿宋" w:hint="eastAsia"/>
          <w:sz w:val="32"/>
          <w:szCs w:val="32"/>
        </w:rPr>
        <w:lastRenderedPageBreak/>
        <w:t>外，还应配备</w:t>
      </w:r>
      <w:r>
        <w:rPr>
          <w:rFonts w:ascii="仿宋" w:eastAsia="仿宋" w:hAnsi="仿宋" w:cs="仿宋" w:hint="eastAsia"/>
          <w:sz w:val="32"/>
          <w:szCs w:val="32"/>
        </w:rPr>
        <w:t>必要的助理教师，保障线上线下教学正常有序运行。同一课程负责人只能申报一门课程。</w:t>
      </w:r>
    </w:p>
    <w:p w14:paraId="69ABE9B4"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（二）课程教学设计</w:t>
      </w:r>
    </w:p>
    <w:p w14:paraId="03318E44"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遵循教育教学规律，突出继续教育特色。注重以学生为中心建立教与学新型关系，构建体现信息技术与教育教学深度融合的课程结构和教学组织模式，课程知识体系科学，资源配置全面合理，适合在线学习和混合式教学。</w:t>
      </w:r>
    </w:p>
    <w:p w14:paraId="1F2B7217"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（三）课程内容</w:t>
      </w:r>
    </w:p>
    <w:p w14:paraId="60C4965A"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坚持立德树人，能够将思想政治教育内化为课程内容，弘扬社会主义核心价值观。反映学科专业最新发展成果和教改教研成果，具有较高的科学性水平。突出继续教育类型特点，深化产教融合、校企合作。课程内容更新和完善及时。无危害国家安全、涉密及其他不适宜网络公开传播的内容，无侵犯他人知识产权内容。</w:t>
      </w:r>
    </w:p>
    <w:p w14:paraId="70C8DBCD"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（四）教学活动与教师指导</w:t>
      </w:r>
    </w:p>
    <w:p w14:paraId="64A530E5"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通过课程平台，教师按照学校的教学计划和要求为学习者提供测验、作业、考试、答疑、讨论等教学活动，及时开展在线指导与测评。各项教学活动完整、有效，按计划实施。师生互动充分，能有效促进师生之间、学生之间进行资源</w:t>
      </w:r>
      <w:r>
        <w:rPr>
          <w:rFonts w:ascii="仿宋" w:eastAsia="仿宋" w:hAnsi="仿宋" w:cs="仿宋" w:hint="eastAsia"/>
          <w:sz w:val="32"/>
          <w:szCs w:val="32"/>
        </w:rPr>
        <w:t>共享、互动交流和自主式与协作式学习。</w:t>
      </w:r>
    </w:p>
    <w:p w14:paraId="3051B0E9"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（五）应用效果与影响</w:t>
      </w:r>
    </w:p>
    <w:p w14:paraId="48FCADD1"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申报课程在本校教学过程中能较好地应用，将在线课程与课堂教学相结合，教学方法先进，教学质量高。</w:t>
      </w:r>
    </w:p>
    <w:p w14:paraId="20A4F63B"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（六）课程平台支持服务</w:t>
      </w:r>
    </w:p>
    <w:p w14:paraId="7386FDF6"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课程平台须按照《中国互联网管理条例》等规定，完成有关的备案和审批手续，至少获得国家信息安全等级保护二级认证。平台运行安全稳定畅通，课程在线教学支持服务高效。同时，须制定相应的管理制度和工作流程，配有专业人员进行审查管理，确保上线课程的内容规范及技术水平。</w:t>
      </w:r>
    </w:p>
    <w:p w14:paraId="1CC9BFFA" w14:textId="77777777" w:rsidR="00EB79A8" w:rsidRDefault="00567EB6">
      <w:pPr>
        <w:spacing w:line="52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三、评选工作流程</w:t>
      </w:r>
    </w:p>
    <w:p w14:paraId="02D6AC2C" w14:textId="77777777" w:rsidR="00EB79A8" w:rsidRDefault="00567E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优秀在线课程评选工作，分为高校推荐和评审两个阶段。</w:t>
      </w:r>
    </w:p>
    <w:p w14:paraId="0097B901" w14:textId="77777777" w:rsidR="00EB79A8" w:rsidRDefault="00567E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高校推荐。各高校推荐本校高等学历继续教育优秀在线课程（含混合式教学课程），并按时报送推荐名单及材料。材料包括《上海市高等学历继续教育优秀在线课程申报书》《上海市高等学历继续教育优秀在线课程申报汇总表》和相关材料。全部材料以电子文档形式报送。</w:t>
      </w:r>
    </w:p>
    <w:p w14:paraId="57A10480" w14:textId="77777777" w:rsidR="00EB79A8" w:rsidRDefault="00567EB6">
      <w:pPr>
        <w:ind w:firstLine="420"/>
        <w:rPr>
          <w:rFonts w:ascii="仿宋" w:eastAsia="仿宋" w:hAnsi="仿宋" w:cs="仿宋"/>
          <w:sz w:val="32"/>
          <w:szCs w:val="32"/>
        </w:rPr>
      </w:pPr>
      <w:r>
        <w:rPr>
          <w:rFonts w:ascii="仿宋" w:eastAsia="仿宋" w:hAnsi="仿宋" w:cs="仿宋" w:hint="eastAsia"/>
          <w:sz w:val="32"/>
          <w:szCs w:val="32"/>
        </w:rPr>
        <w:t>（二）评审。评估协会高校继续教育专委会组织专家对高校推荐在线课程进行评审。</w:t>
      </w:r>
    </w:p>
    <w:p w14:paraId="5736889F" w14:textId="77777777" w:rsidR="00EB79A8" w:rsidRDefault="00567EB6">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分类评审。申报课程划分为理工农</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类、人文社会类、高职高专类进行评审。</w:t>
      </w:r>
    </w:p>
    <w:p w14:paraId="62241899" w14:textId="77777777" w:rsidR="00EB79A8" w:rsidRDefault="00567EB6">
      <w:pPr>
        <w:ind w:firstLineChars="200" w:firstLine="640"/>
        <w:rPr>
          <w:rFonts w:ascii="仿宋" w:eastAsia="仿宋" w:hAnsi="仿宋" w:cs="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采用三轮评审方式。</w:t>
      </w:r>
    </w:p>
    <w:p w14:paraId="1DD08172"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第一轮：每一门课程评审均遴选</w:t>
      </w:r>
      <w:r>
        <w:rPr>
          <w:rFonts w:ascii="仿宋" w:eastAsia="仿宋" w:hAnsi="仿宋" w:cs="仿宋" w:hint="eastAsia"/>
          <w:sz w:val="32"/>
          <w:szCs w:val="32"/>
        </w:rPr>
        <w:t>2</w:t>
      </w:r>
      <w:r>
        <w:rPr>
          <w:rFonts w:ascii="仿宋" w:eastAsia="仿宋" w:hAnsi="仿宋" w:cs="仿宋" w:hint="eastAsia"/>
          <w:sz w:val="32"/>
          <w:szCs w:val="32"/>
        </w:rPr>
        <w:t>名专家按</w:t>
      </w:r>
      <w:r>
        <w:rPr>
          <w:rFonts w:ascii="仿宋" w:eastAsia="仿宋" w:hAnsi="仿宋" w:cs="仿宋" w:hint="eastAsia"/>
          <w:sz w:val="32"/>
          <w:szCs w:val="32"/>
        </w:rPr>
        <w:t>照评选指标进行“背靠背”评审。</w:t>
      </w:r>
    </w:p>
    <w:p w14:paraId="6302C06A" w14:textId="77777777" w:rsidR="00EB79A8" w:rsidRDefault="00567EB6">
      <w:pPr>
        <w:ind w:firstLineChars="200" w:firstLine="640"/>
        <w:rPr>
          <w:rFonts w:ascii="仿宋" w:eastAsia="仿宋" w:hAnsi="仿宋" w:cs="仿宋"/>
          <w:sz w:val="32"/>
          <w:szCs w:val="32"/>
        </w:rPr>
      </w:pPr>
      <w:r>
        <w:rPr>
          <w:rFonts w:ascii="仿宋" w:eastAsia="仿宋" w:hAnsi="仿宋" w:cs="仿宋" w:hint="eastAsia"/>
          <w:sz w:val="32"/>
          <w:szCs w:val="32"/>
        </w:rPr>
        <w:t>第二轮：汇总专家评审意见后，召开专家会议进行第二轮遴选，遴选</w:t>
      </w:r>
      <w:proofErr w:type="gramStart"/>
      <w:r>
        <w:rPr>
          <w:rFonts w:ascii="仿宋" w:eastAsia="仿宋" w:hAnsi="仿宋" w:cs="仿宋" w:hint="eastAsia"/>
          <w:sz w:val="32"/>
          <w:szCs w:val="32"/>
        </w:rPr>
        <w:t>结果报专委</w:t>
      </w:r>
      <w:proofErr w:type="gramEnd"/>
      <w:r>
        <w:rPr>
          <w:rFonts w:ascii="仿宋" w:eastAsia="仿宋" w:hAnsi="仿宋" w:cs="仿宋" w:hint="eastAsia"/>
          <w:sz w:val="32"/>
          <w:szCs w:val="32"/>
        </w:rPr>
        <w:t>会主任会议审议。</w:t>
      </w:r>
    </w:p>
    <w:p w14:paraId="7B9C7FB7" w14:textId="77777777" w:rsidR="00EB79A8" w:rsidRDefault="00567EB6">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第三轮：专委会召开主任会议对评选流程、遴选结果等进行评议，确定评审结果后进行公示。</w:t>
      </w:r>
    </w:p>
    <w:p w14:paraId="3DDC8E2F" w14:textId="77777777" w:rsidR="00EB79A8" w:rsidRDefault="00567EB6">
      <w:pPr>
        <w:ind w:firstLineChars="200" w:firstLine="640"/>
        <w:rPr>
          <w:rFonts w:ascii="仿宋" w:eastAsia="仿宋" w:hAnsi="仿宋" w:cs="仿宋"/>
          <w:sz w:val="32"/>
          <w:szCs w:val="32"/>
        </w:rPr>
      </w:pPr>
      <w:r>
        <w:rPr>
          <w:rFonts w:ascii="仿宋" w:eastAsia="仿宋" w:hAnsi="仿宋" w:cs="仿宋"/>
          <w:bCs/>
          <w:kern w:val="0"/>
          <w:sz w:val="32"/>
          <w:szCs w:val="32"/>
        </w:rPr>
        <w:t>3.</w:t>
      </w:r>
      <w:r>
        <w:rPr>
          <w:rFonts w:ascii="仿宋" w:eastAsia="仿宋" w:hAnsi="仿宋" w:cs="仿宋" w:hint="eastAsia"/>
          <w:bCs/>
          <w:kern w:val="0"/>
          <w:sz w:val="32"/>
          <w:szCs w:val="32"/>
        </w:rPr>
        <w:t>原则上获奖课程比例占申报课程总数的</w:t>
      </w:r>
      <w:r>
        <w:rPr>
          <w:rFonts w:ascii="仿宋" w:eastAsia="仿宋" w:hAnsi="仿宋" w:cs="仿宋" w:hint="eastAsia"/>
          <w:bCs/>
          <w:kern w:val="0"/>
          <w:sz w:val="32"/>
          <w:szCs w:val="32"/>
        </w:rPr>
        <w:t>7</w:t>
      </w:r>
      <w:r>
        <w:rPr>
          <w:rFonts w:ascii="仿宋" w:eastAsia="仿宋" w:hAnsi="仿宋" w:cs="仿宋"/>
          <w:bCs/>
          <w:kern w:val="0"/>
          <w:sz w:val="32"/>
          <w:szCs w:val="32"/>
        </w:rPr>
        <w:t>0%</w:t>
      </w:r>
      <w:r>
        <w:rPr>
          <w:rFonts w:ascii="仿宋" w:eastAsia="仿宋" w:hAnsi="仿宋" w:cs="仿宋" w:hint="eastAsia"/>
          <w:bCs/>
          <w:kern w:val="0"/>
          <w:sz w:val="32"/>
          <w:szCs w:val="32"/>
        </w:rPr>
        <w:t>左右。获奖课程所占比例约为一等奖</w:t>
      </w:r>
      <w:r>
        <w:rPr>
          <w:rFonts w:ascii="仿宋" w:eastAsia="仿宋" w:hAnsi="仿宋" w:cs="仿宋" w:hint="eastAsia"/>
          <w:bCs/>
          <w:kern w:val="0"/>
          <w:sz w:val="32"/>
          <w:szCs w:val="32"/>
        </w:rPr>
        <w:t>1</w:t>
      </w:r>
      <w:r>
        <w:rPr>
          <w:rFonts w:ascii="仿宋" w:eastAsia="仿宋" w:hAnsi="仿宋" w:cs="仿宋"/>
          <w:bCs/>
          <w:kern w:val="0"/>
          <w:sz w:val="32"/>
          <w:szCs w:val="32"/>
        </w:rPr>
        <w:t>5%</w:t>
      </w:r>
      <w:r>
        <w:rPr>
          <w:rFonts w:ascii="仿宋" w:eastAsia="仿宋" w:hAnsi="仿宋" w:cs="仿宋" w:hint="eastAsia"/>
          <w:bCs/>
          <w:kern w:val="0"/>
          <w:sz w:val="32"/>
          <w:szCs w:val="32"/>
        </w:rPr>
        <w:t>，二等奖</w:t>
      </w:r>
      <w:r>
        <w:rPr>
          <w:rFonts w:ascii="仿宋" w:eastAsia="仿宋" w:hAnsi="仿宋" w:cs="仿宋" w:hint="eastAsia"/>
          <w:bCs/>
          <w:kern w:val="0"/>
          <w:sz w:val="32"/>
          <w:szCs w:val="32"/>
        </w:rPr>
        <w:t>2</w:t>
      </w:r>
      <w:r>
        <w:rPr>
          <w:rFonts w:ascii="仿宋" w:eastAsia="仿宋" w:hAnsi="仿宋" w:cs="仿宋"/>
          <w:bCs/>
          <w:kern w:val="0"/>
          <w:sz w:val="32"/>
          <w:szCs w:val="32"/>
        </w:rPr>
        <w:t>0%</w:t>
      </w:r>
      <w:r>
        <w:rPr>
          <w:rFonts w:ascii="仿宋" w:eastAsia="仿宋" w:hAnsi="仿宋" w:cs="仿宋" w:hint="eastAsia"/>
          <w:bCs/>
          <w:kern w:val="0"/>
          <w:sz w:val="32"/>
          <w:szCs w:val="32"/>
        </w:rPr>
        <w:t>，三等奖</w:t>
      </w:r>
      <w:r>
        <w:rPr>
          <w:rFonts w:ascii="仿宋" w:eastAsia="仿宋" w:hAnsi="仿宋" w:cs="仿宋" w:hint="eastAsia"/>
          <w:bCs/>
          <w:kern w:val="0"/>
          <w:sz w:val="32"/>
          <w:szCs w:val="32"/>
        </w:rPr>
        <w:t>3</w:t>
      </w:r>
      <w:r>
        <w:rPr>
          <w:rFonts w:ascii="仿宋" w:eastAsia="仿宋" w:hAnsi="仿宋" w:cs="仿宋"/>
          <w:bCs/>
          <w:kern w:val="0"/>
          <w:sz w:val="32"/>
          <w:szCs w:val="32"/>
        </w:rPr>
        <w:t>5%</w:t>
      </w:r>
      <w:r>
        <w:rPr>
          <w:rFonts w:ascii="仿宋" w:eastAsia="仿宋" w:hAnsi="仿宋" w:cs="仿宋" w:hint="eastAsia"/>
          <w:bCs/>
          <w:kern w:val="0"/>
          <w:sz w:val="32"/>
          <w:szCs w:val="32"/>
        </w:rPr>
        <w:t>。</w:t>
      </w:r>
    </w:p>
    <w:p w14:paraId="514780E8" w14:textId="77777777" w:rsidR="00EB79A8" w:rsidRDefault="00567EB6">
      <w:pPr>
        <w:spacing w:line="520" w:lineRule="exact"/>
        <w:ind w:firstLine="420"/>
        <w:rPr>
          <w:rFonts w:ascii="仿宋" w:eastAsia="仿宋" w:hAnsi="仿宋" w:cs="仿宋"/>
          <w:sz w:val="32"/>
          <w:szCs w:val="32"/>
        </w:rPr>
      </w:pPr>
      <w:r>
        <w:rPr>
          <w:rFonts w:ascii="仿宋" w:eastAsia="仿宋" w:hAnsi="仿宋" w:cs="仿宋" w:hint="eastAsia"/>
          <w:sz w:val="32"/>
          <w:szCs w:val="32"/>
        </w:rPr>
        <w:t>四、评选指标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4923"/>
        <w:gridCol w:w="945"/>
        <w:gridCol w:w="1072"/>
      </w:tblGrid>
      <w:tr w:rsidR="00EB79A8" w14:paraId="79BA3573" w14:textId="77777777">
        <w:trPr>
          <w:trHeight w:val="20"/>
          <w:tblHeader/>
          <w:jc w:val="center"/>
        </w:trPr>
        <w:tc>
          <w:tcPr>
            <w:tcW w:w="1640" w:type="dxa"/>
            <w:vAlign w:val="center"/>
          </w:tcPr>
          <w:p w14:paraId="3F292A55" w14:textId="77777777" w:rsidR="00EB79A8" w:rsidRDefault="00567EB6">
            <w:pPr>
              <w:snapToGrid w:val="0"/>
              <w:jc w:val="center"/>
              <w:rPr>
                <w:rFonts w:ascii="黑体" w:eastAsia="黑体" w:hAnsi="黑体"/>
                <w:bCs/>
                <w:szCs w:val="21"/>
              </w:rPr>
            </w:pPr>
            <w:r>
              <w:rPr>
                <w:rFonts w:ascii="黑体" w:eastAsia="黑体" w:hAnsi="黑体" w:hint="eastAsia"/>
                <w:bCs/>
                <w:szCs w:val="21"/>
              </w:rPr>
              <w:t>评价指标</w:t>
            </w:r>
          </w:p>
        </w:tc>
        <w:tc>
          <w:tcPr>
            <w:tcW w:w="4923" w:type="dxa"/>
            <w:vAlign w:val="center"/>
          </w:tcPr>
          <w:p w14:paraId="2949E7DB" w14:textId="77777777" w:rsidR="00EB79A8" w:rsidRDefault="00567EB6">
            <w:pPr>
              <w:snapToGrid w:val="0"/>
              <w:jc w:val="center"/>
              <w:rPr>
                <w:rFonts w:ascii="黑体" w:eastAsia="黑体" w:hAnsi="黑体"/>
                <w:bCs/>
                <w:szCs w:val="21"/>
              </w:rPr>
            </w:pPr>
            <w:r>
              <w:rPr>
                <w:rFonts w:ascii="黑体" w:eastAsia="黑体" w:hAnsi="黑体" w:hint="eastAsia"/>
                <w:bCs/>
                <w:szCs w:val="21"/>
              </w:rPr>
              <w:t>评价要求</w:t>
            </w:r>
          </w:p>
        </w:tc>
        <w:tc>
          <w:tcPr>
            <w:tcW w:w="945" w:type="dxa"/>
            <w:vAlign w:val="center"/>
          </w:tcPr>
          <w:p w14:paraId="13508265" w14:textId="77777777" w:rsidR="00EB79A8" w:rsidRDefault="00567EB6">
            <w:pPr>
              <w:snapToGrid w:val="0"/>
              <w:jc w:val="center"/>
              <w:rPr>
                <w:rFonts w:ascii="黑体" w:eastAsia="黑体" w:hAnsi="黑体"/>
                <w:bCs/>
                <w:szCs w:val="21"/>
              </w:rPr>
            </w:pPr>
            <w:r>
              <w:rPr>
                <w:rFonts w:ascii="黑体" w:eastAsia="黑体" w:hAnsi="黑体" w:hint="eastAsia"/>
                <w:bCs/>
                <w:szCs w:val="21"/>
              </w:rPr>
              <w:t>分值</w:t>
            </w:r>
          </w:p>
          <w:p w14:paraId="12A71B42" w14:textId="77777777" w:rsidR="00EB79A8" w:rsidRDefault="00567EB6">
            <w:pPr>
              <w:snapToGrid w:val="0"/>
              <w:jc w:val="center"/>
              <w:rPr>
                <w:rFonts w:ascii="黑体" w:eastAsia="黑体" w:hAnsi="黑体"/>
                <w:bCs/>
                <w:szCs w:val="21"/>
              </w:rPr>
            </w:pPr>
            <w:r>
              <w:rPr>
                <w:rFonts w:ascii="黑体" w:eastAsia="黑体" w:hAnsi="黑体" w:hint="eastAsia"/>
                <w:bCs/>
                <w:szCs w:val="21"/>
              </w:rPr>
              <w:t>（分）</w:t>
            </w:r>
          </w:p>
        </w:tc>
        <w:tc>
          <w:tcPr>
            <w:tcW w:w="1072" w:type="dxa"/>
            <w:vAlign w:val="center"/>
          </w:tcPr>
          <w:p w14:paraId="2FCD8027" w14:textId="77777777" w:rsidR="00EB79A8" w:rsidRDefault="00567EB6">
            <w:pPr>
              <w:snapToGrid w:val="0"/>
              <w:jc w:val="center"/>
              <w:rPr>
                <w:rFonts w:ascii="黑体" w:eastAsia="黑体" w:hAnsi="黑体"/>
                <w:bCs/>
                <w:szCs w:val="21"/>
              </w:rPr>
            </w:pPr>
            <w:r>
              <w:rPr>
                <w:rFonts w:ascii="黑体" w:eastAsia="黑体" w:hAnsi="黑体" w:hint="eastAsia"/>
                <w:bCs/>
                <w:szCs w:val="21"/>
              </w:rPr>
              <w:t>评分</w:t>
            </w:r>
          </w:p>
        </w:tc>
      </w:tr>
      <w:tr w:rsidR="00EB79A8" w14:paraId="2216CF67" w14:textId="77777777">
        <w:trPr>
          <w:trHeight w:val="510"/>
          <w:tblHeader/>
          <w:jc w:val="center"/>
        </w:trPr>
        <w:tc>
          <w:tcPr>
            <w:tcW w:w="1640" w:type="dxa"/>
            <w:vMerge w:val="restart"/>
            <w:vAlign w:val="center"/>
          </w:tcPr>
          <w:p w14:paraId="77A18272" w14:textId="77777777" w:rsidR="00EB79A8" w:rsidRDefault="00567EB6">
            <w:pPr>
              <w:snapToGrid w:val="0"/>
              <w:jc w:val="center"/>
              <w:rPr>
                <w:rFonts w:ascii="仿宋_GB2312" w:eastAsia="仿宋_GB2312" w:hAnsi="宋体" w:cs="黑体"/>
                <w:kern w:val="0"/>
                <w:szCs w:val="21"/>
              </w:rPr>
            </w:pPr>
            <w:r>
              <w:rPr>
                <w:rFonts w:ascii="仿宋_GB2312" w:eastAsia="仿宋_GB2312" w:hAnsi="宋体" w:cs="黑体" w:hint="eastAsia"/>
                <w:kern w:val="0"/>
                <w:szCs w:val="21"/>
              </w:rPr>
              <w:t>教学计划与</w:t>
            </w:r>
          </w:p>
          <w:p w14:paraId="0A16516B" w14:textId="77777777" w:rsidR="00EB79A8" w:rsidRDefault="00567EB6">
            <w:pPr>
              <w:snapToGrid w:val="0"/>
              <w:jc w:val="center"/>
              <w:rPr>
                <w:rFonts w:ascii="仿宋_GB2312" w:eastAsia="仿宋_GB2312" w:hAnsi="宋体" w:cs="黑体"/>
                <w:kern w:val="0"/>
                <w:szCs w:val="21"/>
              </w:rPr>
            </w:pPr>
            <w:r>
              <w:rPr>
                <w:rFonts w:ascii="仿宋_GB2312" w:eastAsia="仿宋_GB2312" w:hAnsi="宋体" w:cs="黑体" w:hint="eastAsia"/>
                <w:kern w:val="0"/>
                <w:szCs w:val="21"/>
              </w:rPr>
              <w:t>教学设计</w:t>
            </w:r>
          </w:p>
          <w:p w14:paraId="153E2F0B" w14:textId="77777777" w:rsidR="00EB79A8" w:rsidRDefault="00567EB6">
            <w:pPr>
              <w:snapToGrid w:val="0"/>
              <w:jc w:val="center"/>
              <w:rPr>
                <w:rFonts w:ascii="仿宋_GB2312" w:eastAsia="仿宋_GB2312" w:hAnsi="宋体" w:cs="黑体"/>
                <w:kern w:val="0"/>
                <w:szCs w:val="21"/>
              </w:rPr>
            </w:pPr>
            <w:r>
              <w:rPr>
                <w:rFonts w:ascii="仿宋_GB2312" w:eastAsia="仿宋_GB2312" w:hAnsi="宋体" w:cs="黑体" w:hint="eastAsia"/>
                <w:kern w:val="0"/>
                <w:szCs w:val="21"/>
              </w:rPr>
              <w:t>（</w:t>
            </w:r>
            <w:r>
              <w:rPr>
                <w:rFonts w:ascii="仿宋_GB2312" w:eastAsia="仿宋_GB2312" w:hAnsi="宋体" w:cs="黑体" w:hint="eastAsia"/>
                <w:kern w:val="0"/>
                <w:szCs w:val="21"/>
              </w:rPr>
              <w:t>2</w:t>
            </w:r>
            <w:r>
              <w:rPr>
                <w:rFonts w:ascii="仿宋_GB2312" w:eastAsia="仿宋_GB2312" w:hAnsi="宋体" w:cs="黑体"/>
                <w:kern w:val="0"/>
                <w:szCs w:val="21"/>
              </w:rPr>
              <w:t>5</w:t>
            </w:r>
            <w:r>
              <w:rPr>
                <w:rFonts w:ascii="仿宋_GB2312" w:eastAsia="仿宋_GB2312" w:hAnsi="宋体" w:cs="黑体" w:hint="eastAsia"/>
                <w:kern w:val="0"/>
                <w:szCs w:val="21"/>
              </w:rPr>
              <w:t>%</w:t>
            </w:r>
            <w:r>
              <w:rPr>
                <w:rFonts w:ascii="仿宋_GB2312" w:eastAsia="仿宋_GB2312" w:hAnsi="宋体" w:cs="黑体" w:hint="eastAsia"/>
                <w:kern w:val="0"/>
                <w:szCs w:val="21"/>
              </w:rPr>
              <w:t>）</w:t>
            </w:r>
          </w:p>
        </w:tc>
        <w:tc>
          <w:tcPr>
            <w:tcW w:w="4923" w:type="dxa"/>
            <w:vAlign w:val="center"/>
          </w:tcPr>
          <w:p w14:paraId="0D9F832E" w14:textId="77777777" w:rsidR="00EB79A8" w:rsidRDefault="00567EB6">
            <w:pPr>
              <w:snapToGrid w:val="0"/>
              <w:rPr>
                <w:rFonts w:ascii="仿宋_GB2312" w:eastAsia="仿宋_GB2312" w:hAnsi="仿宋" w:cs="仿宋"/>
                <w:kern w:val="0"/>
                <w:szCs w:val="21"/>
              </w:rPr>
            </w:pPr>
            <w:r>
              <w:rPr>
                <w:rFonts w:ascii="仿宋_GB2312" w:eastAsia="仿宋_GB2312" w:hAnsi="仿宋" w:cs="仿宋" w:hint="eastAsia"/>
                <w:kern w:val="0"/>
                <w:szCs w:val="21"/>
              </w:rPr>
              <w:t>坚持立德树人，弘扬社会主义核心价值观。能够在课程</w:t>
            </w:r>
            <w:proofErr w:type="gramStart"/>
            <w:r>
              <w:rPr>
                <w:rFonts w:ascii="仿宋_GB2312" w:eastAsia="仿宋_GB2312" w:hAnsi="仿宋" w:cs="仿宋" w:hint="eastAsia"/>
                <w:kern w:val="0"/>
                <w:szCs w:val="21"/>
              </w:rPr>
              <w:t>思政教学</w:t>
            </w:r>
            <w:proofErr w:type="gramEnd"/>
            <w:r>
              <w:rPr>
                <w:rFonts w:ascii="仿宋_GB2312" w:eastAsia="仿宋_GB2312" w:hAnsi="仿宋" w:cs="仿宋" w:hint="eastAsia"/>
                <w:kern w:val="0"/>
                <w:szCs w:val="21"/>
              </w:rPr>
              <w:t>改革方面做好教学设计。</w:t>
            </w:r>
          </w:p>
        </w:tc>
        <w:tc>
          <w:tcPr>
            <w:tcW w:w="945" w:type="dxa"/>
            <w:vAlign w:val="center"/>
          </w:tcPr>
          <w:p w14:paraId="3B782872" w14:textId="77777777" w:rsidR="00EB79A8" w:rsidRDefault="00567EB6">
            <w:pPr>
              <w:snapToGrid w:val="0"/>
              <w:jc w:val="center"/>
              <w:rPr>
                <w:rFonts w:ascii="仿宋_GB2312" w:eastAsia="仿宋_GB2312"/>
                <w:szCs w:val="21"/>
              </w:rPr>
            </w:pPr>
            <w:r>
              <w:rPr>
                <w:rFonts w:ascii="仿宋_GB2312" w:eastAsia="仿宋_GB2312" w:hint="eastAsia"/>
                <w:szCs w:val="21"/>
              </w:rPr>
              <w:t>10</w:t>
            </w:r>
          </w:p>
        </w:tc>
        <w:tc>
          <w:tcPr>
            <w:tcW w:w="1072" w:type="dxa"/>
            <w:vMerge w:val="restart"/>
            <w:vAlign w:val="center"/>
          </w:tcPr>
          <w:p w14:paraId="0BB461C1" w14:textId="77777777" w:rsidR="00EB79A8" w:rsidRDefault="00EB79A8">
            <w:pPr>
              <w:snapToGrid w:val="0"/>
              <w:jc w:val="center"/>
              <w:rPr>
                <w:rFonts w:ascii="仿宋_GB2312" w:eastAsia="仿宋_GB2312"/>
                <w:szCs w:val="21"/>
              </w:rPr>
            </w:pPr>
          </w:p>
        </w:tc>
      </w:tr>
      <w:tr w:rsidR="00EB79A8" w14:paraId="35D91157" w14:textId="77777777">
        <w:trPr>
          <w:trHeight w:val="510"/>
          <w:tblHeader/>
          <w:jc w:val="center"/>
        </w:trPr>
        <w:tc>
          <w:tcPr>
            <w:tcW w:w="1640" w:type="dxa"/>
            <w:vMerge/>
            <w:vAlign w:val="center"/>
          </w:tcPr>
          <w:p w14:paraId="601F7549" w14:textId="77777777" w:rsidR="00EB79A8" w:rsidRDefault="00EB79A8">
            <w:pPr>
              <w:snapToGrid w:val="0"/>
              <w:jc w:val="center"/>
              <w:rPr>
                <w:rFonts w:ascii="仿宋_GB2312" w:eastAsia="仿宋_GB2312" w:hAnsi="宋体" w:cs="黑体"/>
                <w:kern w:val="0"/>
                <w:szCs w:val="21"/>
              </w:rPr>
            </w:pPr>
          </w:p>
        </w:tc>
        <w:tc>
          <w:tcPr>
            <w:tcW w:w="4923" w:type="dxa"/>
            <w:vAlign w:val="center"/>
          </w:tcPr>
          <w:p w14:paraId="31E36DAD" w14:textId="77777777" w:rsidR="00EB79A8" w:rsidRDefault="00567EB6">
            <w:pPr>
              <w:snapToGrid w:val="0"/>
              <w:jc w:val="left"/>
              <w:textAlignment w:val="center"/>
              <w:rPr>
                <w:rFonts w:ascii="仿宋_GB2312" w:eastAsia="仿宋_GB2312" w:hAnsi="仿宋" w:cs="仿宋"/>
                <w:kern w:val="0"/>
                <w:szCs w:val="21"/>
              </w:rPr>
            </w:pPr>
            <w:r>
              <w:rPr>
                <w:rFonts w:ascii="仿宋_GB2312" w:eastAsia="仿宋_GB2312" w:hAnsi="仿宋" w:cs="仿宋" w:hint="eastAsia"/>
                <w:kern w:val="0"/>
                <w:szCs w:val="21"/>
              </w:rPr>
              <w:t>教学目标明确、思路清晰，在线教学计划安排合理，学生能够明确了解如何开展学习。</w:t>
            </w:r>
          </w:p>
        </w:tc>
        <w:tc>
          <w:tcPr>
            <w:tcW w:w="945" w:type="dxa"/>
            <w:vAlign w:val="center"/>
          </w:tcPr>
          <w:p w14:paraId="7CF35EDC" w14:textId="77777777" w:rsidR="00EB79A8" w:rsidRDefault="00567EB6">
            <w:pPr>
              <w:snapToGrid w:val="0"/>
              <w:jc w:val="center"/>
              <w:rPr>
                <w:rFonts w:ascii="仿宋_GB2312" w:eastAsia="仿宋_GB2312"/>
                <w:szCs w:val="21"/>
              </w:rPr>
            </w:pPr>
            <w:r>
              <w:rPr>
                <w:rFonts w:ascii="仿宋_GB2312" w:eastAsia="仿宋_GB2312" w:hint="eastAsia"/>
                <w:szCs w:val="21"/>
              </w:rPr>
              <w:t>5</w:t>
            </w:r>
          </w:p>
        </w:tc>
        <w:tc>
          <w:tcPr>
            <w:tcW w:w="1072" w:type="dxa"/>
            <w:vMerge/>
            <w:vAlign w:val="center"/>
          </w:tcPr>
          <w:p w14:paraId="1F8B1609" w14:textId="77777777" w:rsidR="00EB79A8" w:rsidRDefault="00EB79A8">
            <w:pPr>
              <w:snapToGrid w:val="0"/>
              <w:jc w:val="center"/>
              <w:rPr>
                <w:rFonts w:ascii="仿宋_GB2312" w:eastAsia="仿宋_GB2312"/>
                <w:szCs w:val="21"/>
              </w:rPr>
            </w:pPr>
          </w:p>
        </w:tc>
      </w:tr>
      <w:tr w:rsidR="00EB79A8" w14:paraId="4B284299" w14:textId="77777777">
        <w:trPr>
          <w:trHeight w:val="510"/>
          <w:tblHeader/>
          <w:jc w:val="center"/>
        </w:trPr>
        <w:tc>
          <w:tcPr>
            <w:tcW w:w="1640" w:type="dxa"/>
            <w:vMerge/>
            <w:vAlign w:val="center"/>
          </w:tcPr>
          <w:p w14:paraId="637B07AD" w14:textId="77777777" w:rsidR="00EB79A8" w:rsidRDefault="00EB79A8">
            <w:pPr>
              <w:snapToGrid w:val="0"/>
              <w:jc w:val="center"/>
              <w:rPr>
                <w:rFonts w:ascii="仿宋_GB2312" w:eastAsia="仿宋_GB2312" w:hAnsi="宋体" w:cs="黑体"/>
                <w:kern w:val="0"/>
                <w:szCs w:val="21"/>
              </w:rPr>
            </w:pPr>
          </w:p>
        </w:tc>
        <w:tc>
          <w:tcPr>
            <w:tcW w:w="4923" w:type="dxa"/>
            <w:vAlign w:val="center"/>
          </w:tcPr>
          <w:p w14:paraId="01E26639" w14:textId="77777777" w:rsidR="00EB79A8" w:rsidRDefault="00567EB6">
            <w:pPr>
              <w:snapToGrid w:val="0"/>
              <w:jc w:val="left"/>
              <w:textAlignment w:val="center"/>
              <w:rPr>
                <w:rFonts w:ascii="仿宋_GB2312" w:eastAsia="仿宋_GB2312" w:hAnsi="仿宋" w:cs="仿宋"/>
                <w:kern w:val="0"/>
                <w:szCs w:val="21"/>
              </w:rPr>
            </w:pPr>
            <w:r>
              <w:rPr>
                <w:rFonts w:ascii="仿宋_GB2312" w:eastAsia="仿宋_GB2312" w:hAnsi="仿宋" w:cs="仿宋" w:hint="eastAsia"/>
                <w:kern w:val="0"/>
                <w:szCs w:val="21"/>
              </w:rPr>
              <w:t>教学设计合理，按照教学大纲和课堂教学目标组织教学资源，教学方法灵活。</w:t>
            </w:r>
          </w:p>
        </w:tc>
        <w:tc>
          <w:tcPr>
            <w:tcW w:w="945" w:type="dxa"/>
            <w:vAlign w:val="center"/>
          </w:tcPr>
          <w:p w14:paraId="65783B2C" w14:textId="77777777" w:rsidR="00EB79A8" w:rsidRDefault="00567EB6">
            <w:pPr>
              <w:snapToGrid w:val="0"/>
              <w:jc w:val="center"/>
              <w:rPr>
                <w:rFonts w:ascii="仿宋_GB2312" w:eastAsia="仿宋_GB2312"/>
                <w:szCs w:val="21"/>
              </w:rPr>
            </w:pPr>
            <w:r>
              <w:rPr>
                <w:rFonts w:ascii="仿宋_GB2312" w:eastAsia="仿宋_GB2312" w:hint="eastAsia"/>
                <w:szCs w:val="21"/>
              </w:rPr>
              <w:t>5</w:t>
            </w:r>
          </w:p>
        </w:tc>
        <w:tc>
          <w:tcPr>
            <w:tcW w:w="1072" w:type="dxa"/>
            <w:vMerge/>
            <w:vAlign w:val="center"/>
          </w:tcPr>
          <w:p w14:paraId="5082F61B" w14:textId="77777777" w:rsidR="00EB79A8" w:rsidRDefault="00EB79A8">
            <w:pPr>
              <w:snapToGrid w:val="0"/>
              <w:jc w:val="center"/>
              <w:rPr>
                <w:rFonts w:ascii="仿宋_GB2312" w:eastAsia="仿宋_GB2312"/>
                <w:szCs w:val="21"/>
              </w:rPr>
            </w:pPr>
          </w:p>
        </w:tc>
      </w:tr>
      <w:tr w:rsidR="00EB79A8" w14:paraId="2E8CD4FF" w14:textId="77777777">
        <w:trPr>
          <w:trHeight w:val="510"/>
          <w:tblHeader/>
          <w:jc w:val="center"/>
        </w:trPr>
        <w:tc>
          <w:tcPr>
            <w:tcW w:w="1640" w:type="dxa"/>
            <w:vMerge/>
            <w:vAlign w:val="center"/>
          </w:tcPr>
          <w:p w14:paraId="628FCAC9" w14:textId="77777777" w:rsidR="00EB79A8" w:rsidRDefault="00EB79A8">
            <w:pPr>
              <w:snapToGrid w:val="0"/>
              <w:jc w:val="center"/>
              <w:rPr>
                <w:rFonts w:ascii="仿宋_GB2312" w:eastAsia="仿宋_GB2312" w:hAnsi="宋体" w:cs="黑体"/>
                <w:kern w:val="0"/>
                <w:szCs w:val="21"/>
              </w:rPr>
            </w:pPr>
          </w:p>
        </w:tc>
        <w:tc>
          <w:tcPr>
            <w:tcW w:w="4923" w:type="dxa"/>
            <w:vAlign w:val="center"/>
          </w:tcPr>
          <w:p w14:paraId="41636DBE" w14:textId="77777777" w:rsidR="00EB79A8" w:rsidRDefault="00567EB6">
            <w:pPr>
              <w:snapToGrid w:val="0"/>
              <w:jc w:val="left"/>
              <w:textAlignment w:val="center"/>
              <w:rPr>
                <w:rFonts w:ascii="仿宋_GB2312" w:eastAsia="仿宋_GB2312" w:hAnsi="仿宋" w:cs="仿宋"/>
                <w:kern w:val="0"/>
                <w:szCs w:val="21"/>
              </w:rPr>
            </w:pPr>
            <w:r>
              <w:rPr>
                <w:rFonts w:ascii="仿宋_GB2312" w:eastAsia="仿宋_GB2312" w:hAnsi="仿宋" w:cs="仿宋" w:hint="eastAsia"/>
                <w:kern w:val="0"/>
                <w:szCs w:val="21"/>
              </w:rPr>
              <w:t>教学内容设计得当，能准确把握课程重点和难点，有效利用在线资源，互补性好。</w:t>
            </w:r>
          </w:p>
        </w:tc>
        <w:tc>
          <w:tcPr>
            <w:tcW w:w="945" w:type="dxa"/>
            <w:vAlign w:val="center"/>
          </w:tcPr>
          <w:p w14:paraId="1E75DB02" w14:textId="77777777" w:rsidR="00EB79A8" w:rsidRDefault="00567EB6">
            <w:pPr>
              <w:snapToGrid w:val="0"/>
              <w:jc w:val="center"/>
              <w:rPr>
                <w:rFonts w:ascii="仿宋_GB2312" w:eastAsia="仿宋_GB2312"/>
                <w:szCs w:val="21"/>
              </w:rPr>
            </w:pPr>
            <w:r>
              <w:rPr>
                <w:rFonts w:ascii="仿宋_GB2312" w:eastAsia="仿宋_GB2312" w:hint="eastAsia"/>
                <w:szCs w:val="21"/>
              </w:rPr>
              <w:t>5</w:t>
            </w:r>
          </w:p>
        </w:tc>
        <w:tc>
          <w:tcPr>
            <w:tcW w:w="1072" w:type="dxa"/>
            <w:vMerge/>
            <w:vAlign w:val="center"/>
          </w:tcPr>
          <w:p w14:paraId="2A5F8C0F" w14:textId="77777777" w:rsidR="00EB79A8" w:rsidRDefault="00EB79A8">
            <w:pPr>
              <w:snapToGrid w:val="0"/>
              <w:jc w:val="center"/>
              <w:rPr>
                <w:rFonts w:ascii="仿宋_GB2312" w:eastAsia="仿宋_GB2312"/>
                <w:szCs w:val="21"/>
              </w:rPr>
            </w:pPr>
          </w:p>
        </w:tc>
      </w:tr>
      <w:tr w:rsidR="00EB79A8" w14:paraId="349F6316" w14:textId="77777777">
        <w:trPr>
          <w:trHeight w:val="510"/>
          <w:tblHeader/>
          <w:jc w:val="center"/>
        </w:trPr>
        <w:tc>
          <w:tcPr>
            <w:tcW w:w="1640" w:type="dxa"/>
            <w:vMerge w:val="restart"/>
            <w:vAlign w:val="center"/>
          </w:tcPr>
          <w:p w14:paraId="6BD4014B" w14:textId="77777777" w:rsidR="00EB79A8" w:rsidRDefault="00567EB6">
            <w:pPr>
              <w:snapToGrid w:val="0"/>
              <w:jc w:val="center"/>
              <w:rPr>
                <w:rFonts w:ascii="仿宋_GB2312" w:eastAsia="仿宋_GB2312" w:hAnsi="宋体" w:cs="黑体"/>
                <w:kern w:val="0"/>
                <w:szCs w:val="21"/>
              </w:rPr>
            </w:pPr>
            <w:r>
              <w:rPr>
                <w:rFonts w:ascii="仿宋_GB2312" w:eastAsia="仿宋_GB2312" w:hAnsi="宋体" w:cs="黑体" w:hint="eastAsia"/>
                <w:kern w:val="0"/>
                <w:szCs w:val="21"/>
              </w:rPr>
              <w:t>教学资源与</w:t>
            </w:r>
          </w:p>
          <w:p w14:paraId="3F427F1A" w14:textId="77777777" w:rsidR="00EB79A8" w:rsidRDefault="00567EB6">
            <w:pPr>
              <w:snapToGrid w:val="0"/>
              <w:jc w:val="center"/>
              <w:rPr>
                <w:rFonts w:ascii="仿宋_GB2312" w:eastAsia="仿宋_GB2312" w:hAnsi="宋体" w:cs="黑体"/>
                <w:kern w:val="0"/>
                <w:szCs w:val="21"/>
              </w:rPr>
            </w:pPr>
            <w:r>
              <w:rPr>
                <w:rFonts w:ascii="仿宋_GB2312" w:eastAsia="仿宋_GB2312" w:hAnsi="宋体" w:cs="黑体" w:hint="eastAsia"/>
                <w:kern w:val="0"/>
                <w:szCs w:val="21"/>
              </w:rPr>
              <w:t>内容</w:t>
            </w:r>
          </w:p>
          <w:p w14:paraId="7512CECD" w14:textId="77777777" w:rsidR="00EB79A8" w:rsidRDefault="00567EB6">
            <w:pPr>
              <w:snapToGrid w:val="0"/>
              <w:jc w:val="center"/>
              <w:rPr>
                <w:rFonts w:ascii="仿宋_GB2312" w:eastAsia="仿宋_GB2312" w:hAnsi="宋体" w:cs="黑体"/>
                <w:kern w:val="0"/>
                <w:szCs w:val="21"/>
              </w:rPr>
            </w:pPr>
            <w:r>
              <w:rPr>
                <w:rFonts w:ascii="仿宋_GB2312" w:eastAsia="仿宋_GB2312" w:hAnsi="宋体" w:cs="黑体" w:hint="eastAsia"/>
                <w:kern w:val="0"/>
                <w:szCs w:val="21"/>
              </w:rPr>
              <w:t>（</w:t>
            </w:r>
            <w:r>
              <w:rPr>
                <w:rFonts w:ascii="仿宋_GB2312" w:eastAsia="仿宋_GB2312" w:hAnsi="宋体" w:cs="黑体" w:hint="eastAsia"/>
                <w:kern w:val="0"/>
                <w:szCs w:val="21"/>
              </w:rPr>
              <w:t>20%</w:t>
            </w:r>
            <w:r>
              <w:rPr>
                <w:rFonts w:ascii="仿宋_GB2312" w:eastAsia="仿宋_GB2312" w:hAnsi="宋体" w:cs="黑体" w:hint="eastAsia"/>
                <w:kern w:val="0"/>
                <w:szCs w:val="21"/>
              </w:rPr>
              <w:t>）</w:t>
            </w:r>
          </w:p>
        </w:tc>
        <w:tc>
          <w:tcPr>
            <w:tcW w:w="4923" w:type="dxa"/>
            <w:vAlign w:val="center"/>
          </w:tcPr>
          <w:p w14:paraId="6D947DD0" w14:textId="77777777" w:rsidR="00EB79A8" w:rsidRDefault="00567EB6">
            <w:pPr>
              <w:snapToGrid w:val="0"/>
              <w:jc w:val="left"/>
              <w:textAlignment w:val="center"/>
              <w:rPr>
                <w:rFonts w:ascii="仿宋_GB2312" w:eastAsia="仿宋_GB2312" w:hAnsi="仿宋" w:cs="仿宋"/>
                <w:kern w:val="0"/>
                <w:szCs w:val="21"/>
              </w:rPr>
            </w:pPr>
            <w:r>
              <w:rPr>
                <w:rFonts w:ascii="仿宋_GB2312" w:eastAsia="仿宋_GB2312" w:hAnsi="仿宋" w:cs="仿宋" w:hint="eastAsia"/>
                <w:kern w:val="0"/>
                <w:szCs w:val="21"/>
              </w:rPr>
              <w:t>教案、课件、音视频等课程资源能符合教学大纲，具有成教特色，内容充实。</w:t>
            </w:r>
          </w:p>
        </w:tc>
        <w:tc>
          <w:tcPr>
            <w:tcW w:w="945" w:type="dxa"/>
            <w:vAlign w:val="center"/>
          </w:tcPr>
          <w:p w14:paraId="74AB91C4" w14:textId="77777777" w:rsidR="00EB79A8" w:rsidRDefault="00567EB6">
            <w:pPr>
              <w:snapToGrid w:val="0"/>
              <w:jc w:val="center"/>
              <w:rPr>
                <w:rFonts w:ascii="仿宋_GB2312" w:eastAsia="仿宋_GB2312"/>
                <w:szCs w:val="21"/>
              </w:rPr>
            </w:pPr>
            <w:r>
              <w:rPr>
                <w:rFonts w:ascii="仿宋_GB2312" w:eastAsia="仿宋_GB2312" w:hint="eastAsia"/>
                <w:szCs w:val="21"/>
              </w:rPr>
              <w:t>10</w:t>
            </w:r>
          </w:p>
        </w:tc>
        <w:tc>
          <w:tcPr>
            <w:tcW w:w="1072" w:type="dxa"/>
            <w:vMerge w:val="restart"/>
            <w:vAlign w:val="center"/>
          </w:tcPr>
          <w:p w14:paraId="7503FA1F" w14:textId="77777777" w:rsidR="00EB79A8" w:rsidRDefault="00EB79A8">
            <w:pPr>
              <w:snapToGrid w:val="0"/>
              <w:jc w:val="center"/>
              <w:rPr>
                <w:rFonts w:ascii="仿宋_GB2312" w:eastAsia="仿宋_GB2312"/>
                <w:szCs w:val="21"/>
              </w:rPr>
            </w:pPr>
          </w:p>
        </w:tc>
      </w:tr>
      <w:tr w:rsidR="00EB79A8" w14:paraId="3494B2FE" w14:textId="77777777">
        <w:trPr>
          <w:trHeight w:val="510"/>
          <w:tblHeader/>
          <w:jc w:val="center"/>
        </w:trPr>
        <w:tc>
          <w:tcPr>
            <w:tcW w:w="1640" w:type="dxa"/>
            <w:vMerge/>
            <w:vAlign w:val="center"/>
          </w:tcPr>
          <w:p w14:paraId="61A90527" w14:textId="77777777" w:rsidR="00EB79A8" w:rsidRDefault="00EB79A8">
            <w:pPr>
              <w:snapToGrid w:val="0"/>
              <w:jc w:val="center"/>
              <w:rPr>
                <w:rFonts w:ascii="仿宋_GB2312" w:eastAsia="仿宋_GB2312" w:hAnsi="宋体" w:cs="黑体"/>
                <w:kern w:val="0"/>
                <w:szCs w:val="21"/>
              </w:rPr>
            </w:pPr>
          </w:p>
        </w:tc>
        <w:tc>
          <w:tcPr>
            <w:tcW w:w="4923" w:type="dxa"/>
            <w:vAlign w:val="center"/>
          </w:tcPr>
          <w:p w14:paraId="2C3791EB" w14:textId="77777777" w:rsidR="00EB79A8" w:rsidRDefault="00567EB6">
            <w:pPr>
              <w:snapToGrid w:val="0"/>
              <w:jc w:val="left"/>
              <w:textAlignment w:val="center"/>
              <w:rPr>
                <w:rFonts w:ascii="仿宋_GB2312" w:eastAsia="仿宋_GB2312" w:hAnsi="仿宋" w:cs="仿宋"/>
                <w:szCs w:val="21"/>
              </w:rPr>
            </w:pPr>
            <w:r>
              <w:rPr>
                <w:rFonts w:ascii="仿宋_GB2312" w:eastAsia="仿宋_GB2312" w:hAnsi="仿宋" w:cs="仿宋" w:hint="eastAsia"/>
                <w:kern w:val="0"/>
                <w:szCs w:val="21"/>
              </w:rPr>
              <w:t>线上教学资源能较好反映或联系学科发展新思想、新概念、新成果。</w:t>
            </w:r>
          </w:p>
        </w:tc>
        <w:tc>
          <w:tcPr>
            <w:tcW w:w="945" w:type="dxa"/>
            <w:vAlign w:val="center"/>
          </w:tcPr>
          <w:p w14:paraId="6AE5BBA9" w14:textId="77777777" w:rsidR="00EB79A8" w:rsidRDefault="00567EB6">
            <w:pPr>
              <w:snapToGrid w:val="0"/>
              <w:jc w:val="center"/>
              <w:rPr>
                <w:rFonts w:ascii="仿宋_GB2312" w:eastAsia="仿宋_GB2312"/>
                <w:szCs w:val="21"/>
              </w:rPr>
            </w:pPr>
            <w:r>
              <w:rPr>
                <w:rFonts w:ascii="仿宋_GB2312" w:eastAsia="仿宋_GB2312" w:hint="eastAsia"/>
                <w:szCs w:val="21"/>
              </w:rPr>
              <w:t>5</w:t>
            </w:r>
          </w:p>
        </w:tc>
        <w:tc>
          <w:tcPr>
            <w:tcW w:w="1072" w:type="dxa"/>
            <w:vMerge/>
            <w:vAlign w:val="center"/>
          </w:tcPr>
          <w:p w14:paraId="0A5D33B1" w14:textId="77777777" w:rsidR="00EB79A8" w:rsidRDefault="00EB79A8">
            <w:pPr>
              <w:snapToGrid w:val="0"/>
              <w:jc w:val="center"/>
              <w:rPr>
                <w:rFonts w:ascii="仿宋_GB2312" w:eastAsia="仿宋_GB2312"/>
                <w:szCs w:val="21"/>
              </w:rPr>
            </w:pPr>
          </w:p>
        </w:tc>
      </w:tr>
      <w:tr w:rsidR="00EB79A8" w14:paraId="4D667A86" w14:textId="77777777">
        <w:trPr>
          <w:trHeight w:val="510"/>
          <w:tblHeader/>
          <w:jc w:val="center"/>
        </w:trPr>
        <w:tc>
          <w:tcPr>
            <w:tcW w:w="1640" w:type="dxa"/>
            <w:vMerge/>
            <w:vAlign w:val="center"/>
          </w:tcPr>
          <w:p w14:paraId="47A37BC3" w14:textId="77777777" w:rsidR="00EB79A8" w:rsidRDefault="00EB79A8">
            <w:pPr>
              <w:snapToGrid w:val="0"/>
              <w:jc w:val="center"/>
              <w:rPr>
                <w:rFonts w:ascii="仿宋_GB2312" w:eastAsia="仿宋_GB2312" w:hAnsi="宋体" w:cs="黑体"/>
                <w:kern w:val="0"/>
                <w:szCs w:val="21"/>
              </w:rPr>
            </w:pPr>
          </w:p>
        </w:tc>
        <w:tc>
          <w:tcPr>
            <w:tcW w:w="4923" w:type="dxa"/>
            <w:vAlign w:val="center"/>
          </w:tcPr>
          <w:p w14:paraId="65CFB83C" w14:textId="77777777" w:rsidR="00EB79A8" w:rsidRDefault="00567EB6">
            <w:pPr>
              <w:snapToGrid w:val="0"/>
              <w:jc w:val="left"/>
              <w:textAlignment w:val="center"/>
              <w:rPr>
                <w:rFonts w:ascii="仿宋_GB2312" w:eastAsia="仿宋_GB2312" w:hAnsi="仿宋" w:cs="仿宋"/>
                <w:kern w:val="0"/>
                <w:szCs w:val="21"/>
              </w:rPr>
            </w:pPr>
            <w:r>
              <w:rPr>
                <w:rFonts w:ascii="仿宋_GB2312" w:eastAsia="仿宋_GB2312" w:hAnsi="仿宋" w:cs="仿宋" w:hint="eastAsia"/>
                <w:kern w:val="0"/>
                <w:szCs w:val="21"/>
              </w:rPr>
              <w:t>作业、测验、试题等资源丰富，能够满足平时考核需要。</w:t>
            </w:r>
          </w:p>
        </w:tc>
        <w:tc>
          <w:tcPr>
            <w:tcW w:w="945" w:type="dxa"/>
            <w:vAlign w:val="center"/>
          </w:tcPr>
          <w:p w14:paraId="6CDBD22D" w14:textId="77777777" w:rsidR="00EB79A8" w:rsidRDefault="00567EB6">
            <w:pPr>
              <w:snapToGrid w:val="0"/>
              <w:jc w:val="center"/>
              <w:rPr>
                <w:rFonts w:ascii="仿宋_GB2312" w:eastAsia="仿宋_GB2312"/>
                <w:szCs w:val="21"/>
              </w:rPr>
            </w:pPr>
            <w:r>
              <w:rPr>
                <w:rFonts w:ascii="仿宋_GB2312" w:eastAsia="仿宋_GB2312" w:hint="eastAsia"/>
                <w:szCs w:val="21"/>
              </w:rPr>
              <w:t>5</w:t>
            </w:r>
          </w:p>
        </w:tc>
        <w:tc>
          <w:tcPr>
            <w:tcW w:w="1072" w:type="dxa"/>
            <w:vMerge/>
            <w:vAlign w:val="center"/>
          </w:tcPr>
          <w:p w14:paraId="481AF644" w14:textId="77777777" w:rsidR="00EB79A8" w:rsidRDefault="00EB79A8">
            <w:pPr>
              <w:snapToGrid w:val="0"/>
              <w:jc w:val="center"/>
              <w:rPr>
                <w:rFonts w:ascii="仿宋_GB2312" w:eastAsia="仿宋_GB2312"/>
                <w:szCs w:val="21"/>
              </w:rPr>
            </w:pPr>
          </w:p>
        </w:tc>
      </w:tr>
      <w:tr w:rsidR="00EB79A8" w14:paraId="6ABBA317" w14:textId="77777777">
        <w:trPr>
          <w:trHeight w:val="510"/>
          <w:tblHeader/>
          <w:jc w:val="center"/>
        </w:trPr>
        <w:tc>
          <w:tcPr>
            <w:tcW w:w="1640" w:type="dxa"/>
            <w:vMerge w:val="restart"/>
            <w:vAlign w:val="center"/>
          </w:tcPr>
          <w:p w14:paraId="6F774F21" w14:textId="77777777" w:rsidR="00EB79A8" w:rsidRDefault="00567EB6">
            <w:pPr>
              <w:snapToGrid w:val="0"/>
              <w:jc w:val="center"/>
              <w:rPr>
                <w:rFonts w:ascii="仿宋_GB2312" w:eastAsia="仿宋_GB2312" w:hAnsi="宋体" w:cs="黑体"/>
                <w:kern w:val="0"/>
                <w:szCs w:val="21"/>
              </w:rPr>
            </w:pPr>
            <w:r>
              <w:rPr>
                <w:rFonts w:ascii="仿宋_GB2312" w:eastAsia="仿宋_GB2312" w:hAnsi="宋体" w:cs="黑体" w:hint="eastAsia"/>
                <w:kern w:val="0"/>
                <w:szCs w:val="21"/>
              </w:rPr>
              <w:t>教学组织</w:t>
            </w:r>
          </w:p>
          <w:p w14:paraId="4F2386C5" w14:textId="77777777" w:rsidR="00EB79A8" w:rsidRDefault="00567EB6">
            <w:pPr>
              <w:snapToGrid w:val="0"/>
              <w:jc w:val="center"/>
              <w:rPr>
                <w:rFonts w:ascii="仿宋_GB2312" w:eastAsia="仿宋_GB2312" w:hAnsi="宋体" w:cs="黑体"/>
                <w:kern w:val="0"/>
                <w:szCs w:val="21"/>
              </w:rPr>
            </w:pPr>
            <w:r>
              <w:rPr>
                <w:rFonts w:ascii="仿宋_GB2312" w:eastAsia="仿宋_GB2312" w:hAnsi="宋体" w:cs="黑体" w:hint="eastAsia"/>
                <w:kern w:val="0"/>
                <w:szCs w:val="21"/>
              </w:rPr>
              <w:t>（</w:t>
            </w:r>
            <w:r>
              <w:rPr>
                <w:rFonts w:ascii="仿宋_GB2312" w:eastAsia="仿宋_GB2312" w:hAnsi="宋体" w:cs="黑体" w:hint="eastAsia"/>
                <w:kern w:val="0"/>
                <w:szCs w:val="21"/>
              </w:rPr>
              <w:t>20%</w:t>
            </w:r>
            <w:r>
              <w:rPr>
                <w:rFonts w:ascii="仿宋_GB2312" w:eastAsia="仿宋_GB2312" w:hAnsi="宋体" w:cs="黑体" w:hint="eastAsia"/>
                <w:kern w:val="0"/>
                <w:szCs w:val="21"/>
              </w:rPr>
              <w:t>）</w:t>
            </w:r>
          </w:p>
        </w:tc>
        <w:tc>
          <w:tcPr>
            <w:tcW w:w="4923" w:type="dxa"/>
            <w:vAlign w:val="center"/>
          </w:tcPr>
          <w:p w14:paraId="20F60F0E" w14:textId="77777777" w:rsidR="00EB79A8" w:rsidRDefault="00567EB6">
            <w:pPr>
              <w:snapToGrid w:val="0"/>
              <w:jc w:val="left"/>
              <w:textAlignment w:val="center"/>
              <w:rPr>
                <w:rFonts w:ascii="仿宋_GB2312" w:eastAsia="仿宋_GB2312" w:hAnsi="仿宋" w:cs="仿宋"/>
                <w:szCs w:val="21"/>
              </w:rPr>
            </w:pPr>
            <w:r>
              <w:rPr>
                <w:rFonts w:ascii="仿宋_GB2312" w:eastAsia="仿宋_GB2312" w:hAnsi="仿宋" w:cs="仿宋" w:hint="eastAsia"/>
                <w:kern w:val="0"/>
                <w:szCs w:val="21"/>
              </w:rPr>
              <w:t>教学过程安排合理，线上资源应用得当，方法运用灵活，能有效启发学生思维、调动学习积极性。</w:t>
            </w:r>
          </w:p>
        </w:tc>
        <w:tc>
          <w:tcPr>
            <w:tcW w:w="945" w:type="dxa"/>
            <w:vAlign w:val="center"/>
          </w:tcPr>
          <w:p w14:paraId="1AAC5D9C" w14:textId="77777777" w:rsidR="00EB79A8" w:rsidRDefault="00567EB6">
            <w:pPr>
              <w:snapToGrid w:val="0"/>
              <w:jc w:val="center"/>
              <w:rPr>
                <w:rFonts w:ascii="仿宋_GB2312" w:eastAsia="仿宋_GB2312"/>
                <w:szCs w:val="21"/>
              </w:rPr>
            </w:pPr>
            <w:r>
              <w:rPr>
                <w:rFonts w:ascii="仿宋_GB2312" w:eastAsia="仿宋_GB2312" w:hint="eastAsia"/>
                <w:szCs w:val="21"/>
              </w:rPr>
              <w:t>5</w:t>
            </w:r>
          </w:p>
        </w:tc>
        <w:tc>
          <w:tcPr>
            <w:tcW w:w="1072" w:type="dxa"/>
            <w:vMerge w:val="restart"/>
            <w:vAlign w:val="center"/>
          </w:tcPr>
          <w:p w14:paraId="618FF51F" w14:textId="77777777" w:rsidR="00EB79A8" w:rsidRDefault="00EB79A8">
            <w:pPr>
              <w:snapToGrid w:val="0"/>
              <w:jc w:val="center"/>
              <w:rPr>
                <w:rFonts w:ascii="仿宋_GB2312" w:eastAsia="仿宋_GB2312"/>
                <w:szCs w:val="21"/>
              </w:rPr>
            </w:pPr>
          </w:p>
        </w:tc>
      </w:tr>
      <w:tr w:rsidR="00EB79A8" w14:paraId="1D3CB263" w14:textId="77777777">
        <w:trPr>
          <w:trHeight w:val="510"/>
          <w:tblHeader/>
          <w:jc w:val="center"/>
        </w:trPr>
        <w:tc>
          <w:tcPr>
            <w:tcW w:w="1640" w:type="dxa"/>
            <w:vMerge/>
            <w:vAlign w:val="center"/>
          </w:tcPr>
          <w:p w14:paraId="3B6C9AB9" w14:textId="77777777" w:rsidR="00EB79A8" w:rsidRDefault="00EB79A8">
            <w:pPr>
              <w:snapToGrid w:val="0"/>
              <w:jc w:val="center"/>
              <w:rPr>
                <w:rFonts w:ascii="仿宋_GB2312" w:eastAsia="仿宋_GB2312"/>
                <w:szCs w:val="21"/>
              </w:rPr>
            </w:pPr>
          </w:p>
        </w:tc>
        <w:tc>
          <w:tcPr>
            <w:tcW w:w="4923" w:type="dxa"/>
            <w:vAlign w:val="center"/>
          </w:tcPr>
          <w:p w14:paraId="50787E3A" w14:textId="77777777" w:rsidR="00EB79A8" w:rsidRDefault="00567EB6">
            <w:pPr>
              <w:snapToGrid w:val="0"/>
              <w:jc w:val="left"/>
              <w:textAlignment w:val="center"/>
              <w:rPr>
                <w:rFonts w:ascii="仿宋_GB2312" w:eastAsia="仿宋_GB2312" w:hAnsi="仿宋" w:cs="仿宋"/>
                <w:szCs w:val="21"/>
              </w:rPr>
            </w:pPr>
            <w:r>
              <w:rPr>
                <w:rFonts w:ascii="仿宋_GB2312" w:eastAsia="仿宋_GB2312" w:hAnsi="仿宋" w:cs="仿宋" w:hint="eastAsia"/>
                <w:kern w:val="0"/>
                <w:szCs w:val="21"/>
              </w:rPr>
              <w:t>在线教学的教学互动安排合理，学生参与度</w:t>
            </w:r>
            <w:proofErr w:type="gramStart"/>
            <w:r>
              <w:rPr>
                <w:rFonts w:ascii="仿宋_GB2312" w:eastAsia="仿宋_GB2312" w:hAnsi="仿宋" w:cs="仿宋" w:hint="eastAsia"/>
                <w:kern w:val="0"/>
                <w:szCs w:val="21"/>
              </w:rPr>
              <w:t>高教学</w:t>
            </w:r>
            <w:proofErr w:type="gramEnd"/>
            <w:r>
              <w:rPr>
                <w:rFonts w:ascii="仿宋_GB2312" w:eastAsia="仿宋_GB2312" w:hAnsi="仿宋" w:cs="仿宋" w:hint="eastAsia"/>
                <w:kern w:val="0"/>
                <w:szCs w:val="21"/>
              </w:rPr>
              <w:t>时间安排合理。</w:t>
            </w:r>
          </w:p>
        </w:tc>
        <w:tc>
          <w:tcPr>
            <w:tcW w:w="945" w:type="dxa"/>
            <w:vAlign w:val="center"/>
          </w:tcPr>
          <w:p w14:paraId="398F5ACD" w14:textId="77777777" w:rsidR="00EB79A8" w:rsidRDefault="00567EB6">
            <w:pPr>
              <w:snapToGrid w:val="0"/>
              <w:jc w:val="center"/>
              <w:rPr>
                <w:rFonts w:ascii="仿宋_GB2312" w:eastAsia="仿宋_GB2312"/>
                <w:szCs w:val="21"/>
              </w:rPr>
            </w:pPr>
            <w:r>
              <w:rPr>
                <w:rFonts w:ascii="仿宋_GB2312" w:eastAsia="仿宋_GB2312" w:hint="eastAsia"/>
                <w:szCs w:val="21"/>
              </w:rPr>
              <w:t>5</w:t>
            </w:r>
          </w:p>
        </w:tc>
        <w:tc>
          <w:tcPr>
            <w:tcW w:w="1072" w:type="dxa"/>
            <w:vMerge/>
            <w:vAlign w:val="center"/>
          </w:tcPr>
          <w:p w14:paraId="4B9B3B3F" w14:textId="77777777" w:rsidR="00EB79A8" w:rsidRDefault="00EB79A8">
            <w:pPr>
              <w:snapToGrid w:val="0"/>
              <w:jc w:val="center"/>
              <w:rPr>
                <w:rFonts w:ascii="仿宋_GB2312" w:eastAsia="仿宋_GB2312"/>
                <w:szCs w:val="21"/>
              </w:rPr>
            </w:pPr>
          </w:p>
        </w:tc>
      </w:tr>
      <w:tr w:rsidR="00EB79A8" w14:paraId="463EE15E" w14:textId="77777777">
        <w:trPr>
          <w:trHeight w:val="510"/>
          <w:tblHeader/>
          <w:jc w:val="center"/>
        </w:trPr>
        <w:tc>
          <w:tcPr>
            <w:tcW w:w="1640" w:type="dxa"/>
            <w:vMerge/>
            <w:vAlign w:val="center"/>
          </w:tcPr>
          <w:p w14:paraId="3C9432EB" w14:textId="77777777" w:rsidR="00EB79A8" w:rsidRDefault="00EB79A8">
            <w:pPr>
              <w:snapToGrid w:val="0"/>
              <w:jc w:val="center"/>
              <w:rPr>
                <w:rFonts w:ascii="仿宋_GB2312" w:eastAsia="仿宋_GB2312"/>
                <w:szCs w:val="21"/>
              </w:rPr>
            </w:pPr>
          </w:p>
        </w:tc>
        <w:tc>
          <w:tcPr>
            <w:tcW w:w="4923" w:type="dxa"/>
            <w:vAlign w:val="center"/>
          </w:tcPr>
          <w:p w14:paraId="1C7228A1" w14:textId="77777777" w:rsidR="00EB79A8" w:rsidRDefault="00567EB6">
            <w:pPr>
              <w:snapToGrid w:val="0"/>
              <w:jc w:val="left"/>
              <w:textAlignment w:val="center"/>
              <w:rPr>
                <w:rFonts w:ascii="仿宋_GB2312" w:eastAsia="仿宋_GB2312" w:hAnsi="仿宋" w:cs="仿宋"/>
                <w:szCs w:val="21"/>
              </w:rPr>
            </w:pPr>
            <w:r>
              <w:rPr>
                <w:rFonts w:ascii="仿宋_GB2312" w:eastAsia="仿宋_GB2312" w:hAnsi="仿宋" w:cs="仿宋" w:hint="eastAsia"/>
                <w:kern w:val="0"/>
                <w:szCs w:val="21"/>
              </w:rPr>
              <w:t>注重过程性学习，随堂测验、课后作业设计与教学内容紧密联系、结构合理，教学互动与多媒体资源相配合，实时解答学生提问。</w:t>
            </w:r>
          </w:p>
        </w:tc>
        <w:tc>
          <w:tcPr>
            <w:tcW w:w="945" w:type="dxa"/>
            <w:vAlign w:val="center"/>
          </w:tcPr>
          <w:p w14:paraId="628D785C" w14:textId="77777777" w:rsidR="00EB79A8" w:rsidRDefault="00567EB6">
            <w:pPr>
              <w:snapToGrid w:val="0"/>
              <w:jc w:val="center"/>
              <w:rPr>
                <w:rFonts w:ascii="仿宋_GB2312" w:eastAsia="仿宋_GB2312"/>
                <w:szCs w:val="21"/>
              </w:rPr>
            </w:pPr>
            <w:r>
              <w:rPr>
                <w:rFonts w:ascii="仿宋_GB2312" w:eastAsia="仿宋_GB2312" w:hint="eastAsia"/>
                <w:szCs w:val="21"/>
              </w:rPr>
              <w:t>5</w:t>
            </w:r>
          </w:p>
        </w:tc>
        <w:tc>
          <w:tcPr>
            <w:tcW w:w="1072" w:type="dxa"/>
            <w:vMerge/>
            <w:vAlign w:val="center"/>
          </w:tcPr>
          <w:p w14:paraId="684F5363" w14:textId="77777777" w:rsidR="00EB79A8" w:rsidRDefault="00EB79A8">
            <w:pPr>
              <w:snapToGrid w:val="0"/>
              <w:jc w:val="center"/>
              <w:rPr>
                <w:rFonts w:ascii="仿宋_GB2312" w:eastAsia="仿宋_GB2312"/>
                <w:szCs w:val="21"/>
              </w:rPr>
            </w:pPr>
          </w:p>
        </w:tc>
      </w:tr>
      <w:tr w:rsidR="00EB79A8" w14:paraId="162BC74F" w14:textId="77777777">
        <w:trPr>
          <w:trHeight w:val="510"/>
          <w:tblHeader/>
          <w:jc w:val="center"/>
        </w:trPr>
        <w:tc>
          <w:tcPr>
            <w:tcW w:w="1640" w:type="dxa"/>
            <w:vMerge/>
            <w:vAlign w:val="center"/>
          </w:tcPr>
          <w:p w14:paraId="7558BC45" w14:textId="77777777" w:rsidR="00EB79A8" w:rsidRDefault="00EB79A8">
            <w:pPr>
              <w:snapToGrid w:val="0"/>
              <w:jc w:val="center"/>
              <w:rPr>
                <w:rFonts w:ascii="仿宋_GB2312" w:eastAsia="仿宋_GB2312"/>
                <w:szCs w:val="21"/>
              </w:rPr>
            </w:pPr>
          </w:p>
        </w:tc>
        <w:tc>
          <w:tcPr>
            <w:tcW w:w="4923" w:type="dxa"/>
            <w:vAlign w:val="center"/>
          </w:tcPr>
          <w:p w14:paraId="683B9D33" w14:textId="77777777" w:rsidR="00EB79A8" w:rsidRDefault="00567EB6">
            <w:pPr>
              <w:snapToGrid w:val="0"/>
              <w:jc w:val="left"/>
              <w:textAlignment w:val="center"/>
              <w:rPr>
                <w:rFonts w:ascii="仿宋_GB2312" w:eastAsia="仿宋_GB2312" w:hAnsi="仿宋" w:cs="仿宋"/>
                <w:kern w:val="0"/>
                <w:szCs w:val="21"/>
              </w:rPr>
            </w:pPr>
            <w:r>
              <w:rPr>
                <w:rFonts w:ascii="仿宋_GB2312" w:eastAsia="仿宋_GB2312" w:hAnsi="仿宋" w:cs="仿宋" w:hint="eastAsia"/>
                <w:kern w:val="0"/>
                <w:szCs w:val="21"/>
              </w:rPr>
              <w:t>线上教学过程的重点突出，条理清楚，内容承前启后，循序渐进。</w:t>
            </w:r>
          </w:p>
        </w:tc>
        <w:tc>
          <w:tcPr>
            <w:tcW w:w="945" w:type="dxa"/>
            <w:vAlign w:val="center"/>
          </w:tcPr>
          <w:p w14:paraId="520A8A5D" w14:textId="77777777" w:rsidR="00EB79A8" w:rsidRDefault="00567EB6">
            <w:pPr>
              <w:snapToGrid w:val="0"/>
              <w:jc w:val="center"/>
              <w:rPr>
                <w:rFonts w:ascii="仿宋_GB2312" w:eastAsia="仿宋_GB2312"/>
                <w:szCs w:val="21"/>
              </w:rPr>
            </w:pPr>
            <w:r>
              <w:rPr>
                <w:rFonts w:ascii="仿宋_GB2312" w:eastAsia="仿宋_GB2312" w:hint="eastAsia"/>
                <w:szCs w:val="21"/>
              </w:rPr>
              <w:t>5</w:t>
            </w:r>
          </w:p>
        </w:tc>
        <w:tc>
          <w:tcPr>
            <w:tcW w:w="1072" w:type="dxa"/>
            <w:vMerge/>
            <w:vAlign w:val="center"/>
          </w:tcPr>
          <w:p w14:paraId="796AEDA5" w14:textId="77777777" w:rsidR="00EB79A8" w:rsidRDefault="00EB79A8">
            <w:pPr>
              <w:snapToGrid w:val="0"/>
              <w:jc w:val="center"/>
              <w:rPr>
                <w:rFonts w:ascii="仿宋_GB2312" w:eastAsia="仿宋_GB2312"/>
                <w:szCs w:val="21"/>
              </w:rPr>
            </w:pPr>
          </w:p>
        </w:tc>
      </w:tr>
      <w:tr w:rsidR="00EB79A8" w14:paraId="7179615C" w14:textId="77777777">
        <w:trPr>
          <w:trHeight w:val="510"/>
          <w:tblHeader/>
          <w:jc w:val="center"/>
        </w:trPr>
        <w:tc>
          <w:tcPr>
            <w:tcW w:w="1640" w:type="dxa"/>
            <w:vMerge w:val="restart"/>
            <w:vAlign w:val="center"/>
          </w:tcPr>
          <w:p w14:paraId="2889D8A0" w14:textId="77777777" w:rsidR="00EB79A8" w:rsidRDefault="00567EB6">
            <w:pPr>
              <w:snapToGrid w:val="0"/>
              <w:jc w:val="center"/>
              <w:rPr>
                <w:rFonts w:ascii="仿宋_GB2312" w:eastAsia="仿宋_GB2312" w:hAnsi="宋体" w:cs="黑体"/>
                <w:kern w:val="0"/>
                <w:szCs w:val="21"/>
              </w:rPr>
            </w:pPr>
            <w:r>
              <w:rPr>
                <w:rFonts w:ascii="仿宋_GB2312" w:eastAsia="仿宋_GB2312" w:hAnsi="宋体" w:cs="黑体" w:hint="eastAsia"/>
                <w:kern w:val="0"/>
                <w:szCs w:val="21"/>
              </w:rPr>
              <w:t>课堂教学方法和教学效果</w:t>
            </w:r>
          </w:p>
          <w:p w14:paraId="4B482B12" w14:textId="77777777" w:rsidR="00EB79A8" w:rsidRDefault="00567EB6">
            <w:pPr>
              <w:snapToGrid w:val="0"/>
              <w:jc w:val="center"/>
              <w:rPr>
                <w:rFonts w:ascii="仿宋_GB2312" w:eastAsia="仿宋_GB2312"/>
                <w:szCs w:val="21"/>
              </w:rPr>
            </w:pPr>
            <w:r>
              <w:rPr>
                <w:rFonts w:ascii="仿宋_GB2312" w:eastAsia="仿宋_GB2312" w:hAnsi="宋体" w:cs="黑体" w:hint="eastAsia"/>
                <w:kern w:val="0"/>
                <w:szCs w:val="21"/>
              </w:rPr>
              <w:t>（</w:t>
            </w:r>
            <w:r>
              <w:rPr>
                <w:rFonts w:ascii="仿宋_GB2312" w:eastAsia="仿宋_GB2312" w:hAnsi="宋体" w:cs="黑体" w:hint="eastAsia"/>
                <w:kern w:val="0"/>
                <w:szCs w:val="21"/>
              </w:rPr>
              <w:t>20%</w:t>
            </w:r>
            <w:r>
              <w:rPr>
                <w:rFonts w:ascii="仿宋_GB2312" w:eastAsia="仿宋_GB2312" w:hAnsi="宋体" w:cs="黑体" w:hint="eastAsia"/>
                <w:kern w:val="0"/>
                <w:szCs w:val="21"/>
              </w:rPr>
              <w:t>）</w:t>
            </w:r>
          </w:p>
        </w:tc>
        <w:tc>
          <w:tcPr>
            <w:tcW w:w="4923" w:type="dxa"/>
          </w:tcPr>
          <w:p w14:paraId="2AA92D2E" w14:textId="77777777" w:rsidR="00EB79A8" w:rsidRDefault="00567EB6">
            <w:pPr>
              <w:snapToGrid w:val="0"/>
              <w:rPr>
                <w:rFonts w:ascii="仿宋_GB2312" w:eastAsia="仿宋_GB2312" w:hAnsi="仿宋" w:cs="仿宋"/>
                <w:szCs w:val="21"/>
              </w:rPr>
            </w:pPr>
            <w:r>
              <w:rPr>
                <w:rFonts w:ascii="仿宋_GB2312" w:eastAsia="仿宋_GB2312" w:hAnsi="仿宋" w:cs="仿宋" w:hint="eastAsia"/>
                <w:kern w:val="0"/>
                <w:szCs w:val="21"/>
              </w:rPr>
              <w:t>教师教学理念先进、风格突出、精神饱满、感染力强。</w:t>
            </w:r>
          </w:p>
        </w:tc>
        <w:tc>
          <w:tcPr>
            <w:tcW w:w="945" w:type="dxa"/>
            <w:vAlign w:val="center"/>
          </w:tcPr>
          <w:p w14:paraId="3736F6CF" w14:textId="77777777" w:rsidR="00EB79A8" w:rsidRDefault="00567EB6">
            <w:pPr>
              <w:snapToGrid w:val="0"/>
              <w:jc w:val="center"/>
              <w:rPr>
                <w:rFonts w:ascii="仿宋_GB2312" w:eastAsia="仿宋_GB2312"/>
                <w:szCs w:val="21"/>
              </w:rPr>
            </w:pPr>
            <w:r>
              <w:rPr>
                <w:rFonts w:ascii="仿宋_GB2312" w:eastAsia="仿宋_GB2312" w:hint="eastAsia"/>
                <w:szCs w:val="21"/>
              </w:rPr>
              <w:t>5</w:t>
            </w:r>
          </w:p>
        </w:tc>
        <w:tc>
          <w:tcPr>
            <w:tcW w:w="1072" w:type="dxa"/>
            <w:vMerge w:val="restart"/>
            <w:vAlign w:val="center"/>
          </w:tcPr>
          <w:p w14:paraId="52A72669" w14:textId="77777777" w:rsidR="00EB79A8" w:rsidRDefault="00EB79A8">
            <w:pPr>
              <w:snapToGrid w:val="0"/>
              <w:jc w:val="center"/>
              <w:rPr>
                <w:rFonts w:ascii="仿宋_GB2312" w:eastAsia="仿宋_GB2312"/>
                <w:szCs w:val="21"/>
              </w:rPr>
            </w:pPr>
          </w:p>
        </w:tc>
      </w:tr>
      <w:tr w:rsidR="00EB79A8" w14:paraId="1EC97F86" w14:textId="77777777">
        <w:trPr>
          <w:trHeight w:val="510"/>
          <w:tblHeader/>
          <w:jc w:val="center"/>
        </w:trPr>
        <w:tc>
          <w:tcPr>
            <w:tcW w:w="1640" w:type="dxa"/>
            <w:vMerge/>
            <w:vAlign w:val="center"/>
          </w:tcPr>
          <w:p w14:paraId="5898F0BE" w14:textId="77777777" w:rsidR="00EB79A8" w:rsidRDefault="00EB79A8">
            <w:pPr>
              <w:snapToGrid w:val="0"/>
              <w:jc w:val="center"/>
              <w:rPr>
                <w:rFonts w:ascii="仿宋_GB2312" w:eastAsia="仿宋_GB2312" w:hAnsi="宋体" w:cs="黑体"/>
                <w:kern w:val="0"/>
                <w:szCs w:val="21"/>
              </w:rPr>
            </w:pPr>
          </w:p>
        </w:tc>
        <w:tc>
          <w:tcPr>
            <w:tcW w:w="4923" w:type="dxa"/>
          </w:tcPr>
          <w:p w14:paraId="7E589FA2" w14:textId="77777777" w:rsidR="00EB79A8" w:rsidRDefault="00567EB6">
            <w:pPr>
              <w:snapToGrid w:val="0"/>
              <w:rPr>
                <w:rFonts w:ascii="仿宋_GB2312" w:eastAsia="仿宋_GB2312" w:hAnsi="仿宋" w:cs="仿宋"/>
                <w:kern w:val="0"/>
                <w:szCs w:val="21"/>
              </w:rPr>
            </w:pPr>
            <w:r>
              <w:rPr>
                <w:rFonts w:ascii="仿宋_GB2312" w:eastAsia="仿宋_GB2312" w:hAnsi="仿宋" w:cs="仿宋" w:hint="eastAsia"/>
                <w:kern w:val="0"/>
                <w:szCs w:val="21"/>
              </w:rPr>
              <w:t>系统性强，条理清晰，层次分明，重点突出。讲解清楚，教学效果好。</w:t>
            </w:r>
          </w:p>
        </w:tc>
        <w:tc>
          <w:tcPr>
            <w:tcW w:w="945" w:type="dxa"/>
            <w:vAlign w:val="center"/>
          </w:tcPr>
          <w:p w14:paraId="28F0F84C" w14:textId="77777777" w:rsidR="00EB79A8" w:rsidRDefault="00567EB6">
            <w:pPr>
              <w:snapToGrid w:val="0"/>
              <w:jc w:val="center"/>
              <w:rPr>
                <w:rFonts w:ascii="仿宋_GB2312" w:eastAsia="仿宋_GB2312"/>
                <w:szCs w:val="21"/>
              </w:rPr>
            </w:pPr>
            <w:r>
              <w:rPr>
                <w:rFonts w:ascii="仿宋_GB2312" w:eastAsia="仿宋_GB2312" w:hint="eastAsia"/>
                <w:szCs w:val="21"/>
              </w:rPr>
              <w:t>10</w:t>
            </w:r>
          </w:p>
        </w:tc>
        <w:tc>
          <w:tcPr>
            <w:tcW w:w="1072" w:type="dxa"/>
            <w:vMerge/>
            <w:vAlign w:val="center"/>
          </w:tcPr>
          <w:p w14:paraId="3F724B8F" w14:textId="77777777" w:rsidR="00EB79A8" w:rsidRDefault="00EB79A8">
            <w:pPr>
              <w:snapToGrid w:val="0"/>
              <w:jc w:val="center"/>
              <w:rPr>
                <w:rFonts w:ascii="仿宋_GB2312" w:eastAsia="仿宋_GB2312"/>
                <w:szCs w:val="21"/>
              </w:rPr>
            </w:pPr>
          </w:p>
        </w:tc>
      </w:tr>
      <w:tr w:rsidR="00EB79A8" w14:paraId="5576BC16" w14:textId="77777777">
        <w:trPr>
          <w:trHeight w:val="510"/>
          <w:tblHeader/>
          <w:jc w:val="center"/>
        </w:trPr>
        <w:tc>
          <w:tcPr>
            <w:tcW w:w="1640" w:type="dxa"/>
            <w:vMerge/>
          </w:tcPr>
          <w:p w14:paraId="332DF19A" w14:textId="77777777" w:rsidR="00EB79A8" w:rsidRDefault="00EB79A8">
            <w:pPr>
              <w:snapToGrid w:val="0"/>
              <w:rPr>
                <w:rFonts w:ascii="仿宋_GB2312" w:eastAsia="仿宋_GB2312"/>
                <w:szCs w:val="21"/>
              </w:rPr>
            </w:pPr>
          </w:p>
        </w:tc>
        <w:tc>
          <w:tcPr>
            <w:tcW w:w="4923" w:type="dxa"/>
          </w:tcPr>
          <w:p w14:paraId="049A6416" w14:textId="77777777" w:rsidR="00EB79A8" w:rsidRDefault="00567EB6">
            <w:pPr>
              <w:snapToGrid w:val="0"/>
              <w:rPr>
                <w:rFonts w:ascii="仿宋_GB2312" w:eastAsia="仿宋_GB2312" w:hAnsi="仿宋" w:cs="仿宋"/>
                <w:szCs w:val="21"/>
              </w:rPr>
            </w:pPr>
            <w:r>
              <w:rPr>
                <w:rFonts w:ascii="仿宋_GB2312" w:eastAsia="仿宋_GB2312" w:hAnsi="仿宋" w:cs="仿宋" w:hint="eastAsia"/>
                <w:kern w:val="0"/>
                <w:szCs w:val="21"/>
              </w:rPr>
              <w:t>学生积极参与、教学互动性强、学生能够较好地完成学习目标。</w:t>
            </w:r>
          </w:p>
        </w:tc>
        <w:tc>
          <w:tcPr>
            <w:tcW w:w="945" w:type="dxa"/>
            <w:vAlign w:val="center"/>
          </w:tcPr>
          <w:p w14:paraId="31FE49E1" w14:textId="77777777" w:rsidR="00EB79A8" w:rsidRDefault="00567EB6">
            <w:pPr>
              <w:snapToGrid w:val="0"/>
              <w:jc w:val="center"/>
              <w:rPr>
                <w:rFonts w:ascii="仿宋_GB2312" w:eastAsia="仿宋_GB2312"/>
                <w:szCs w:val="21"/>
              </w:rPr>
            </w:pPr>
            <w:r>
              <w:rPr>
                <w:rFonts w:ascii="仿宋_GB2312" w:eastAsia="仿宋_GB2312" w:hint="eastAsia"/>
                <w:szCs w:val="21"/>
              </w:rPr>
              <w:t>5</w:t>
            </w:r>
          </w:p>
        </w:tc>
        <w:tc>
          <w:tcPr>
            <w:tcW w:w="1072" w:type="dxa"/>
            <w:vMerge/>
            <w:vAlign w:val="center"/>
          </w:tcPr>
          <w:p w14:paraId="036504D3" w14:textId="77777777" w:rsidR="00EB79A8" w:rsidRDefault="00EB79A8">
            <w:pPr>
              <w:snapToGrid w:val="0"/>
              <w:jc w:val="center"/>
              <w:rPr>
                <w:rFonts w:ascii="仿宋_GB2312" w:eastAsia="仿宋_GB2312"/>
                <w:szCs w:val="21"/>
              </w:rPr>
            </w:pPr>
          </w:p>
        </w:tc>
      </w:tr>
      <w:tr w:rsidR="00EB79A8" w14:paraId="53B27CA4" w14:textId="77777777">
        <w:trPr>
          <w:trHeight w:val="510"/>
          <w:tblHeader/>
          <w:jc w:val="center"/>
        </w:trPr>
        <w:tc>
          <w:tcPr>
            <w:tcW w:w="1640" w:type="dxa"/>
            <w:vMerge w:val="restart"/>
            <w:vAlign w:val="center"/>
          </w:tcPr>
          <w:p w14:paraId="471A82FD" w14:textId="77777777" w:rsidR="00EB79A8" w:rsidRDefault="00567EB6">
            <w:pPr>
              <w:snapToGrid w:val="0"/>
              <w:jc w:val="center"/>
              <w:rPr>
                <w:rFonts w:ascii="仿宋_GB2312" w:eastAsia="仿宋_GB2312" w:hAnsi="宋体" w:cs="黑体"/>
                <w:kern w:val="0"/>
                <w:szCs w:val="21"/>
              </w:rPr>
            </w:pPr>
            <w:r>
              <w:rPr>
                <w:rFonts w:ascii="仿宋_GB2312" w:eastAsia="仿宋_GB2312" w:hAnsi="宋体" w:cs="黑体" w:hint="eastAsia"/>
                <w:kern w:val="0"/>
                <w:szCs w:val="21"/>
              </w:rPr>
              <w:t>改革创新</w:t>
            </w:r>
          </w:p>
          <w:p w14:paraId="5F200C6F" w14:textId="77777777" w:rsidR="00EB79A8" w:rsidRDefault="00567EB6">
            <w:pPr>
              <w:snapToGrid w:val="0"/>
              <w:jc w:val="center"/>
              <w:rPr>
                <w:rFonts w:ascii="仿宋_GB2312" w:eastAsia="仿宋_GB2312" w:hAnsi="宋体" w:cs="黑体"/>
                <w:kern w:val="0"/>
                <w:szCs w:val="21"/>
              </w:rPr>
            </w:pPr>
            <w:r>
              <w:rPr>
                <w:rFonts w:ascii="仿宋_GB2312" w:eastAsia="仿宋_GB2312" w:hAnsi="宋体" w:cs="黑体" w:hint="eastAsia"/>
                <w:kern w:val="0"/>
                <w:szCs w:val="21"/>
              </w:rPr>
              <w:t>（</w:t>
            </w:r>
            <w:r>
              <w:rPr>
                <w:rFonts w:ascii="仿宋_GB2312" w:eastAsia="仿宋_GB2312" w:hAnsi="宋体" w:cs="黑体"/>
                <w:kern w:val="0"/>
                <w:szCs w:val="21"/>
              </w:rPr>
              <w:t>15</w:t>
            </w:r>
            <w:r>
              <w:rPr>
                <w:rFonts w:ascii="仿宋_GB2312" w:eastAsia="仿宋_GB2312" w:hAnsi="宋体" w:cs="黑体" w:hint="eastAsia"/>
                <w:kern w:val="0"/>
                <w:szCs w:val="21"/>
              </w:rPr>
              <w:t>%</w:t>
            </w:r>
            <w:r>
              <w:rPr>
                <w:rFonts w:ascii="仿宋_GB2312" w:eastAsia="仿宋_GB2312" w:hAnsi="宋体" w:cs="黑体" w:hint="eastAsia"/>
                <w:kern w:val="0"/>
                <w:szCs w:val="21"/>
              </w:rPr>
              <w:t>）</w:t>
            </w:r>
          </w:p>
        </w:tc>
        <w:tc>
          <w:tcPr>
            <w:tcW w:w="4923" w:type="dxa"/>
          </w:tcPr>
          <w:p w14:paraId="6B89E712" w14:textId="77777777" w:rsidR="00EB79A8" w:rsidRDefault="00567EB6">
            <w:pPr>
              <w:snapToGrid w:val="0"/>
              <w:rPr>
                <w:rFonts w:ascii="仿宋_GB2312" w:eastAsia="仿宋_GB2312" w:hAnsi="仿宋" w:cs="仿宋"/>
                <w:kern w:val="0"/>
                <w:szCs w:val="21"/>
              </w:rPr>
            </w:pPr>
            <w:r>
              <w:rPr>
                <w:rFonts w:ascii="仿宋_GB2312" w:eastAsia="仿宋_GB2312" w:hAnsi="仿宋" w:cs="仿宋" w:hint="eastAsia"/>
                <w:kern w:val="0"/>
                <w:szCs w:val="21"/>
              </w:rPr>
              <w:t>能够根据线上课程的教学特点，从教学理念、教学方法、教学过程三方面着手，保证在线学习与线下课堂教学质量实质等效。</w:t>
            </w:r>
          </w:p>
        </w:tc>
        <w:tc>
          <w:tcPr>
            <w:tcW w:w="945" w:type="dxa"/>
            <w:vAlign w:val="center"/>
          </w:tcPr>
          <w:p w14:paraId="24729B32" w14:textId="77777777" w:rsidR="00EB79A8" w:rsidRDefault="00567EB6">
            <w:pPr>
              <w:snapToGrid w:val="0"/>
              <w:jc w:val="center"/>
              <w:rPr>
                <w:rFonts w:ascii="仿宋_GB2312" w:eastAsia="仿宋_GB2312"/>
                <w:szCs w:val="21"/>
              </w:rPr>
            </w:pPr>
            <w:r>
              <w:rPr>
                <w:rFonts w:ascii="仿宋_GB2312" w:eastAsia="仿宋_GB2312" w:hint="eastAsia"/>
                <w:szCs w:val="21"/>
              </w:rPr>
              <w:t>10</w:t>
            </w:r>
          </w:p>
        </w:tc>
        <w:tc>
          <w:tcPr>
            <w:tcW w:w="1072" w:type="dxa"/>
            <w:vMerge w:val="restart"/>
            <w:vAlign w:val="center"/>
          </w:tcPr>
          <w:p w14:paraId="5BB8982A" w14:textId="77777777" w:rsidR="00EB79A8" w:rsidRDefault="00EB79A8">
            <w:pPr>
              <w:snapToGrid w:val="0"/>
              <w:jc w:val="center"/>
              <w:rPr>
                <w:rFonts w:ascii="仿宋_GB2312" w:eastAsia="仿宋_GB2312"/>
                <w:szCs w:val="21"/>
              </w:rPr>
            </w:pPr>
          </w:p>
        </w:tc>
      </w:tr>
      <w:tr w:rsidR="00EB79A8" w14:paraId="07BDC4EA" w14:textId="77777777">
        <w:trPr>
          <w:trHeight w:val="510"/>
          <w:tblHeader/>
          <w:jc w:val="center"/>
        </w:trPr>
        <w:tc>
          <w:tcPr>
            <w:tcW w:w="1640" w:type="dxa"/>
            <w:vMerge/>
          </w:tcPr>
          <w:p w14:paraId="01648350" w14:textId="77777777" w:rsidR="00EB79A8" w:rsidRDefault="00EB79A8">
            <w:pPr>
              <w:snapToGrid w:val="0"/>
              <w:rPr>
                <w:rFonts w:ascii="仿宋_GB2312" w:eastAsia="仿宋_GB2312"/>
                <w:szCs w:val="21"/>
              </w:rPr>
            </w:pPr>
          </w:p>
        </w:tc>
        <w:tc>
          <w:tcPr>
            <w:tcW w:w="4923" w:type="dxa"/>
          </w:tcPr>
          <w:p w14:paraId="080E3E7A" w14:textId="77777777" w:rsidR="00EB79A8" w:rsidRDefault="00567EB6">
            <w:pPr>
              <w:snapToGrid w:val="0"/>
              <w:rPr>
                <w:rFonts w:ascii="仿宋_GB2312" w:eastAsia="仿宋_GB2312" w:hAnsi="仿宋" w:cs="仿宋"/>
                <w:kern w:val="0"/>
                <w:szCs w:val="21"/>
              </w:rPr>
            </w:pPr>
            <w:r>
              <w:rPr>
                <w:rFonts w:ascii="仿宋_GB2312" w:eastAsia="仿宋_GB2312" w:hAnsi="仿宋" w:cs="仿宋" w:hint="eastAsia"/>
                <w:kern w:val="0"/>
                <w:szCs w:val="21"/>
              </w:rPr>
              <w:t>能够以信息技术与教育教学深度整合进行教与学的改革创新，推动学习方式变革，关注学习成效。</w:t>
            </w:r>
          </w:p>
        </w:tc>
        <w:tc>
          <w:tcPr>
            <w:tcW w:w="945" w:type="dxa"/>
            <w:vAlign w:val="center"/>
          </w:tcPr>
          <w:p w14:paraId="257F7A75" w14:textId="77777777" w:rsidR="00EB79A8" w:rsidRDefault="00567EB6">
            <w:pPr>
              <w:snapToGrid w:val="0"/>
              <w:jc w:val="center"/>
              <w:rPr>
                <w:rFonts w:ascii="仿宋_GB2312" w:eastAsia="仿宋_GB2312"/>
                <w:szCs w:val="21"/>
              </w:rPr>
            </w:pPr>
            <w:r>
              <w:rPr>
                <w:rFonts w:ascii="仿宋_GB2312" w:eastAsia="仿宋_GB2312" w:hint="eastAsia"/>
                <w:szCs w:val="21"/>
              </w:rPr>
              <w:t>5</w:t>
            </w:r>
          </w:p>
        </w:tc>
        <w:tc>
          <w:tcPr>
            <w:tcW w:w="1072" w:type="dxa"/>
            <w:vMerge/>
            <w:vAlign w:val="center"/>
          </w:tcPr>
          <w:p w14:paraId="268998F5" w14:textId="77777777" w:rsidR="00EB79A8" w:rsidRDefault="00EB79A8">
            <w:pPr>
              <w:snapToGrid w:val="0"/>
              <w:jc w:val="center"/>
              <w:rPr>
                <w:rFonts w:ascii="仿宋_GB2312" w:eastAsia="仿宋_GB2312"/>
                <w:szCs w:val="21"/>
              </w:rPr>
            </w:pPr>
          </w:p>
        </w:tc>
      </w:tr>
      <w:tr w:rsidR="00EB79A8" w14:paraId="39180435" w14:textId="77777777">
        <w:trPr>
          <w:trHeight w:val="559"/>
          <w:tblHeader/>
          <w:jc w:val="center"/>
        </w:trPr>
        <w:tc>
          <w:tcPr>
            <w:tcW w:w="6563" w:type="dxa"/>
            <w:gridSpan w:val="2"/>
            <w:vAlign w:val="center"/>
          </w:tcPr>
          <w:p w14:paraId="1637EEEF" w14:textId="77777777" w:rsidR="00EB79A8" w:rsidRDefault="00567EB6">
            <w:pPr>
              <w:snapToGrid w:val="0"/>
              <w:jc w:val="center"/>
              <w:rPr>
                <w:rFonts w:ascii="仿宋_GB2312" w:eastAsia="仿宋_GB2312" w:hAnsi="宋体" w:cs="黑体"/>
                <w:kern w:val="0"/>
                <w:szCs w:val="21"/>
              </w:rPr>
            </w:pPr>
            <w:r>
              <w:rPr>
                <w:rFonts w:ascii="仿宋_GB2312" w:eastAsia="仿宋_GB2312" w:hAnsi="宋体" w:cs="黑体" w:hint="eastAsia"/>
                <w:kern w:val="0"/>
                <w:szCs w:val="21"/>
              </w:rPr>
              <w:t>总</w:t>
            </w:r>
            <w:r>
              <w:rPr>
                <w:rFonts w:ascii="仿宋_GB2312" w:eastAsia="仿宋_GB2312" w:hAnsi="宋体" w:cs="黑体" w:hint="eastAsia"/>
                <w:kern w:val="0"/>
                <w:szCs w:val="21"/>
              </w:rPr>
              <w:t xml:space="preserve">  </w:t>
            </w:r>
            <w:r>
              <w:rPr>
                <w:rFonts w:ascii="仿宋_GB2312" w:eastAsia="仿宋_GB2312" w:hAnsi="宋体" w:cs="黑体" w:hint="eastAsia"/>
                <w:kern w:val="0"/>
                <w:szCs w:val="21"/>
              </w:rPr>
              <w:t>分</w:t>
            </w:r>
          </w:p>
        </w:tc>
        <w:tc>
          <w:tcPr>
            <w:tcW w:w="945" w:type="dxa"/>
            <w:vAlign w:val="center"/>
          </w:tcPr>
          <w:p w14:paraId="7AD5FF34" w14:textId="77777777" w:rsidR="00EB79A8" w:rsidRDefault="00567EB6">
            <w:pPr>
              <w:snapToGrid w:val="0"/>
              <w:jc w:val="center"/>
              <w:rPr>
                <w:rFonts w:ascii="仿宋_GB2312" w:eastAsia="仿宋_GB2312" w:hAnsi="宋体" w:cs="黑体"/>
                <w:kern w:val="0"/>
                <w:szCs w:val="21"/>
              </w:rPr>
            </w:pPr>
            <w:r>
              <w:rPr>
                <w:rFonts w:ascii="仿宋_GB2312" w:eastAsia="仿宋_GB2312" w:hAnsi="宋体" w:cs="黑体" w:hint="eastAsia"/>
                <w:kern w:val="0"/>
                <w:szCs w:val="21"/>
              </w:rPr>
              <w:t>100</w:t>
            </w:r>
          </w:p>
        </w:tc>
        <w:tc>
          <w:tcPr>
            <w:tcW w:w="1072" w:type="dxa"/>
            <w:vAlign w:val="center"/>
          </w:tcPr>
          <w:p w14:paraId="7EAC752C" w14:textId="77777777" w:rsidR="00EB79A8" w:rsidRDefault="00EB79A8">
            <w:pPr>
              <w:snapToGrid w:val="0"/>
              <w:jc w:val="center"/>
              <w:rPr>
                <w:rFonts w:ascii="仿宋_GB2312" w:eastAsia="仿宋_GB2312" w:hAnsi="宋体" w:cs="黑体"/>
                <w:kern w:val="0"/>
                <w:szCs w:val="21"/>
              </w:rPr>
            </w:pPr>
          </w:p>
        </w:tc>
      </w:tr>
    </w:tbl>
    <w:p w14:paraId="1CB1EAA8" w14:textId="2F3CB4B0" w:rsidR="00EB79A8" w:rsidRDefault="00EB79A8">
      <w:pPr>
        <w:widowControl/>
        <w:jc w:val="left"/>
        <w:rPr>
          <w:rFonts w:ascii="黑体" w:eastAsia="黑体" w:hAnsi="黑体" w:cs="Times New Roman" w:hint="eastAsia"/>
          <w:b/>
          <w:sz w:val="32"/>
          <w:szCs w:val="32"/>
        </w:rPr>
      </w:pPr>
    </w:p>
    <w:sectPr w:rsidR="00EB79A8" w:rsidSect="000D0A14">
      <w:pgSz w:w="11906" w:h="16838"/>
      <w:pgMar w:top="2098" w:right="1587" w:bottom="209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84FE" w14:textId="77777777" w:rsidR="00567EB6" w:rsidRDefault="00567EB6">
      <w:r>
        <w:separator/>
      </w:r>
    </w:p>
  </w:endnote>
  <w:endnote w:type="continuationSeparator" w:id="0">
    <w:p w14:paraId="6651EB1B" w14:textId="77777777" w:rsidR="00567EB6" w:rsidRDefault="0056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AF343CB-FFB3-4542-959F-3DB7F4CBC9C6}"/>
    <w:embedBold r:id="rId2" w:subsetted="1" w:fontKey="{A100DFD4-9179-4A01-A8D3-4F6797628DCD}"/>
  </w:font>
  <w:font w:name="仿宋_GB2312">
    <w:altName w:val="仿宋"/>
    <w:panose1 w:val="02010609030101010101"/>
    <w:charset w:val="86"/>
    <w:family w:val="modern"/>
    <w:pitch w:val="fixed"/>
    <w:sig w:usb0="00000001" w:usb1="080E0000" w:usb2="00000010" w:usb3="00000000" w:csb0="00040000" w:csb1="00000000"/>
    <w:embedRegular r:id="rId3" w:subsetted="1" w:fontKey="{F7FCD020-50DB-4CCD-9D51-3BFD354D4DBE}"/>
  </w:font>
  <w:font w:name="仿宋">
    <w:panose1 w:val="02010609060101010101"/>
    <w:charset w:val="86"/>
    <w:family w:val="modern"/>
    <w:pitch w:val="fixed"/>
    <w:sig w:usb0="800002BF" w:usb1="38CF7CFA" w:usb2="00000016" w:usb3="00000000" w:csb0="00040001" w:csb1="00000000"/>
    <w:embedRegular r:id="rId4" w:subsetted="1" w:fontKey="{26076B1F-B843-4A35-A9C9-435A2C7CC60E}"/>
    <w:embedBold r:id="rId5" w:subsetted="1" w:fontKey="{FD92E7F0-0D36-41CC-9700-94133A7F865A}"/>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7935" w14:textId="77777777" w:rsidR="00567EB6" w:rsidRDefault="00567EB6">
      <w:r>
        <w:separator/>
      </w:r>
    </w:p>
  </w:footnote>
  <w:footnote w:type="continuationSeparator" w:id="0">
    <w:p w14:paraId="5773A4B3" w14:textId="77777777" w:rsidR="00567EB6" w:rsidRDefault="00567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1NWZmZTIxODFlMzBmYjkyY2EwMTNlZDAzMGNlNTEifQ=="/>
  </w:docVars>
  <w:rsids>
    <w:rsidRoot w:val="00EB79A8"/>
    <w:rsid w:val="000D0A14"/>
    <w:rsid w:val="00567EB6"/>
    <w:rsid w:val="00EB79A8"/>
    <w:rsid w:val="3EED0ECD"/>
    <w:rsid w:val="53AC60D2"/>
    <w:rsid w:val="53D9371F"/>
    <w:rsid w:val="611D2A48"/>
    <w:rsid w:val="6C5F0204"/>
    <w:rsid w:val="73B2613C"/>
    <w:rsid w:val="7C7B1D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C0AA3"/>
  <w15:docId w15:val="{AAE77C62-9DD9-4F2B-BB6D-AE58C682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table" w:styleId="a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qFormat/>
    <w:rPr>
      <w:color w:val="0000FF"/>
      <w:u w:val="single"/>
    </w:rPr>
  </w:style>
  <w:style w:type="paragraph" w:customStyle="1" w:styleId="1">
    <w:name w:val="列出段落1"/>
    <w:basedOn w:val="a"/>
    <w:uiPriority w:val="34"/>
    <w:qFormat/>
    <w:pPr>
      <w:ind w:firstLineChars="200" w:firstLine="420"/>
    </w:pPr>
  </w:style>
  <w:style w:type="character" w:customStyle="1" w:styleId="a7">
    <w:name w:val="页眉 字符"/>
    <w:basedOn w:val="a0"/>
    <w:link w:val="a6"/>
    <w:qFormat/>
    <w:rPr>
      <w:rFonts w:ascii="Calibri" w:eastAsia="宋体" w:hAnsi="Calibri" w:cs="宋体"/>
      <w:kern w:val="2"/>
      <w:sz w:val="18"/>
      <w:szCs w:val="18"/>
    </w:rPr>
  </w:style>
  <w:style w:type="paragraph" w:styleId="aa">
    <w:name w:val="List Paragraph"/>
    <w:basedOn w:val="a"/>
    <w:uiPriority w:val="99"/>
    <w:qFormat/>
    <w:pPr>
      <w:ind w:firstLineChars="200" w:firstLine="420"/>
    </w:pPr>
  </w:style>
  <w:style w:type="character" w:customStyle="1" w:styleId="10">
    <w:name w:val="未处理的提及1"/>
    <w:basedOn w:val="a0"/>
    <w:uiPriority w:val="99"/>
    <w:qFormat/>
    <w:rPr>
      <w:color w:val="605E5C"/>
      <w:shd w:val="clear" w:color="auto" w:fill="E1DFDD"/>
    </w:rPr>
  </w:style>
  <w:style w:type="character" w:customStyle="1" w:styleId="a4">
    <w:name w:val="批注框文本 字符"/>
    <w:basedOn w:val="a0"/>
    <w:link w:val="a3"/>
    <w:qFormat/>
    <w:rPr>
      <w:rFonts w:ascii="Calibri" w:eastAsia="宋体" w:hAnsi="Calibri" w:cs="宋体"/>
      <w:kern w:val="2"/>
      <w:sz w:val="18"/>
      <w:szCs w:val="18"/>
    </w:rPr>
  </w:style>
  <w:style w:type="paragraph" w:customStyle="1" w:styleId="Revision88e5512d-595f-4c8a-ad21-412ae831fecc">
    <w:name w:val="Revision_88e5512d-595f-4c8a-ad21-412ae831fecc"/>
    <w:uiPriority w:val="99"/>
    <w:qFormat/>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陈浦翔</dc:creator>
  <cp:lastModifiedBy>TERRY</cp:lastModifiedBy>
  <cp:revision>3</cp:revision>
  <cp:lastPrinted>2024-07-05T04:05:00Z</cp:lastPrinted>
  <dcterms:created xsi:type="dcterms:W3CDTF">2022-05-06T01:20:00Z</dcterms:created>
  <dcterms:modified xsi:type="dcterms:W3CDTF">2024-07-09T05:24:00Z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1BFB6C866C0B4C5BAA233940B417A630_13</vt:lpwstr>
  </property>
</Properties>
</file>